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04.06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Anesthesia or sedation education -- Other.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At its discretion, in lieu of the requirement outlined in subdivision 20:43:09:03(1), 20:43:09:04(1), or 20:43:09:04.04(1), the board may consider training or experience accepted in any state or jurisdiction that resulted in an equivalent permit being issued to or maintained by the applicant. </w:t>
      </w:r>
      <w:r>
        <w:rPr>
          <w:rFonts w:ascii="Times New Roman" w:hAnsi="Times New Roman"/>
          <w:sz w:val="24"/>
        </w:rPr>
        <w:t xml:space="preserve">The board may deem such training or experience substantially equivalent and issue a permit or may require that the applicant complete supplemental training, education, evaluation, or remediation before a permit may be issued. </w:t>
      </w:r>
      <w:r>
        <w:rPr>
          <w:rFonts w:ascii="Times New Roman" w:hAnsi="Times New Roman"/>
          <w:sz w:val="24"/>
        </w:rPr>
        <w:t>The applicant shall pay all costs of the training, education, evaluation, remediation, or proceedings.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62, effective D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ecember 13, 2021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36-6A-14(20).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36-6A-14(1)(13)(22)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2021-12-08T15:41:12Z</dcterms:modified>
  <cp:revision>9</cp:revision>
</cp:coreProperties>
</file>