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20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43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09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17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  <w:szCs w:val="20"/>
        </w:rPr>
        <w:t>Emergency response protocol.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 dentist shall ensure a written emergency response protocol is in place for all patients undergoing moderate sedation, deep sedation, or general anesthesia.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 xml:space="preserve">48 SDR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62, effective D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ecember 13, 2021.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36-6A-1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4(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20).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36-6A-14(1)(13)(14)(22)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2021-12-08T17:07:42Z</dcterms:modified>
  <cp:revision>8</cp:revision>
</cp:coreProperties>
</file>