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20</w:t>
      </w:r>
      <w:r>
        <w:rPr>
          <w:rFonts w:ascii="Times New Roman" w:hAnsi="Times New Roman"/>
          <w:b w:val="1"/>
          <w:sz w:val="24"/>
          <w:szCs w:val="20"/>
        </w:rPr>
        <w:t>:</w:t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14</w:t>
      </w:r>
      <w:r>
        <w:rPr>
          <w:rFonts w:ascii="Times New Roman" w:hAnsi="Times New Roman"/>
          <w:b w:val="1"/>
          <w:sz w:val="24"/>
          <w:szCs w:val="20"/>
        </w:rPr>
        <w:t>:</w:t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15</w:t>
      </w:r>
      <w:r>
        <w:rPr>
          <w:rFonts w:ascii="Times New Roman" w:hAnsi="Times New Roman"/>
          <w:b w:val="1"/>
          <w:sz w:val="24"/>
          <w:szCs w:val="20"/>
        </w:rPr>
        <w:t>:</w:t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09</w:t>
      </w:r>
      <w:r>
        <w:rPr>
          <w:rFonts w:ascii="Times New Roman" w:hAnsi="Times New Roman"/>
          <w:b w:val="1"/>
          <w:sz w:val="24"/>
          <w:szCs w:val="20"/>
        </w:rPr>
        <w:t>.  </w:t>
      </w:r>
      <w:r>
        <w:rPr>
          <w:rFonts w:ascii="Times New Roman" w:hAnsi="Times New Roman"/>
          <w:b w:val="1"/>
          <w:sz w:val="24"/>
          <w:szCs w:val="20"/>
        </w:rPr>
        <w:t>Lead and associate trainer requirements.</w:t>
      </w:r>
      <w:r>
        <w:rPr>
          <w:rFonts w:ascii="Times New Roman" w:hAnsi="Times New Roman"/>
          <w:sz w:val="24"/>
          <w:szCs w:val="20"/>
        </w:rPr>
        <w:t xml:space="preserve"> 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To q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ualify as a lead or associate trainer under the experience training program, an individual must: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  <w:lang w:val="en-US" w:bidi="en-US" w:eastAsia="en-US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sz w:val="24"/>
          <w:szCs w:val="20"/>
          <w:lang w:val="en-US" w:bidi="en-US" w:eastAsia="en-US"/>
        </w:rPr>
        <w:t xml:space="preserve">(1)  Have the knowledge and experience </w:t>
      </w:r>
      <w:r>
        <w:rPr>
          <w:rFonts w:ascii="Times New Roman" w:hAnsi="Times New Roman"/>
          <w:sz w:val="24"/>
          <w:szCs w:val="20"/>
          <w:lang w:val="en-US" w:bidi="en-US" w:eastAsia="en-US"/>
        </w:rPr>
        <w:t xml:space="preserve">in the types of appraisal assignments being supervised pursuant to the competency rule of the uniform standards and 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§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 20:14:09:02;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  <w:lang w:val="en-US" w:bidi="en-US" w:eastAsia="en-US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  <w:lang w:val="en-US" w:bidi="en-US" w:eastAsia="en-US"/>
        </w:rPr>
      </w:pPr>
      <w:r>
        <w:rPr>
          <w:rFonts w:ascii="Times New Roman" w:hAnsi="Times New Roman"/>
          <w:sz w:val="24"/>
          <w:szCs w:val="20"/>
          <w:lang w:val="en-US" w:bidi="en-US" w:eastAsia="en-US"/>
        </w:rPr>
        <w:tab/>
        <w:t>(2)  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Have a minimum of five years of appraisal experience as a st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ate-certified residential or state-certified general appraiser;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  <w:lang w:val="en-US" w:bidi="en-US" w:eastAsia="en-US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  <w:lang w:val="en-US" w:bidi="en-US" w:eastAsia="en-US"/>
        </w:rPr>
      </w:pPr>
      <w:r>
        <w:rPr>
          <w:rFonts w:ascii="Times New Roman" w:hAnsi="Times New Roman"/>
          <w:sz w:val="24"/>
          <w:szCs w:val="20"/>
          <w:lang w:val="en-US" w:bidi="en-US" w:eastAsia="en-US"/>
        </w:rPr>
        <w:tab/>
        <w:t>(3)  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H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ave been in good standing, for a period of at least five years, in every jurisdiction in which the appraiser is certified;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  <w:lang w:val="en-US" w:bidi="en-US" w:eastAsia="en-US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  <w:lang w:val="en-US" w:bidi="en-US" w:eastAsia="en-US"/>
        </w:rPr>
      </w:pPr>
      <w:r>
        <w:rPr>
          <w:rFonts w:ascii="Times New Roman" w:hAnsi="Times New Roman"/>
          <w:sz w:val="24"/>
          <w:szCs w:val="20"/>
          <w:lang w:val="en-US" w:bidi="en-US" w:eastAsia="en-US"/>
        </w:rPr>
        <w:tab/>
        <w:t>(4)  Have successfully completed, with the r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equirement of passing the course examination, an education program provide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d by the department as specified in subdivision 20:14:04:14(4);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  <w:lang w:val="en-US" w:bidi="en-US" w:eastAsia="en-US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  <w:lang w:val="en-US" w:bidi="en-US" w:eastAsia="en-US"/>
        </w:rPr>
        <w:tab/>
        <w:t>(5)  Sub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mit to a state and federal criminal background investigation.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Source:</w:t>
      </w:r>
      <w:r>
        <w:rPr>
          <w:rFonts w:ascii="Times New Roman" w:hAnsi="Times New Roman"/>
          <w:sz w:val="24"/>
          <w:szCs w:val="20"/>
        </w:rPr>
        <w:t xml:space="preserve"> 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49 SDR 25, effective Se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pte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mber 18, 2022.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General Authority:</w:t>
      </w:r>
      <w:r>
        <w:rPr>
          <w:rFonts w:ascii="Times New Roman" w:hAnsi="Times New Roman"/>
          <w:sz w:val="24"/>
          <w:szCs w:val="20"/>
        </w:rPr>
        <w:t xml:space="preserve"> SDCL 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36-21B-3(6)(21).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Law Implemented:</w:t>
      </w:r>
      <w:r>
        <w:rPr>
          <w:rFonts w:ascii="Times New Roman" w:hAnsi="Times New Roman"/>
          <w:sz w:val="24"/>
          <w:szCs w:val="20"/>
        </w:rPr>
        <w:t xml:space="preserve"> SDCL 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36-21B-1, 36-21B-3(6)(21)</w:t>
      </w:r>
      <w:r>
        <w:rPr>
          <w:rFonts w:ascii="Times New Roman" w:hAnsi="Times New Roman"/>
          <w:sz w:val="24"/>
          <w:szCs w:val="20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Kumpf, Kevin</dc:creator>
  <dcterms:created xsi:type="dcterms:W3CDTF">2015-11-30T21:41:00Z</dcterms:created>
  <cp:lastModifiedBy>Kelly Thompson</cp:lastModifiedBy>
  <dcterms:modified xsi:type="dcterms:W3CDTF">2022-09-08T18:52:07Z</dcterms:modified>
  <cp:revision>8</cp:revision>
</cp:coreProperties>
</file>