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48:02:14:01</w:t>
      </w:r>
      <w:r>
        <w:rPr>
          <w:rFonts w:ascii="Times New Roman" w:hAnsi="Times New Roman"/>
          <w:b w:val="1"/>
          <w:sz w:val="24"/>
          <w:szCs w:val="20"/>
        </w:rPr>
        <w:t>.  Payment by ticket voucher.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 video lottery machine may only issue a ticket voucher when the machine is linked to a computerized validation system connected to a central gaming system that reports all transactions. The video lottery machine may accept payment by ticket voucher as a method of credit redemption when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</w:rPr>
        <w:t>The video lottery machine is linked to a computerized validation system for the validation of the voucher;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An approved alternation method that includes the ability to identify duplicate vouchers is used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49 SDR 51, effective November 27, 2022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42-7A-21(3)(17).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42-7A-37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2022-12-07T17:52:35Z</dcterms:modified>
  <cp:revision>9</cp:revision>
</cp:coreProperties>
</file>