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48:02:14:04</w:t>
      </w:r>
      <w:r>
        <w:rPr>
          <w:rFonts w:ascii="Times New Roman" w:hAnsi="Times New Roman"/>
          <w:b w:val="1"/>
          <w:sz w:val="24"/>
          <w:szCs w:val="20"/>
        </w:rPr>
        <w:t>.  </w:t>
      </w:r>
      <w:r>
        <w:rPr>
          <w:rFonts w:ascii="Times New Roman" w:hAnsi="Times New Roman"/>
          <w:b w:val="1"/>
          <w:sz w:val="24"/>
          <w:szCs w:val="20"/>
        </w:rPr>
        <w:t>Online ticket voucher issuance.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</w:rPr>
        <w:t>When a video lottery machine issues a printed ticket voucher, the machine must support the transmission of the following information on each ticket voucher issued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</w:rPr>
        <w:t>Value of credits in dollars and cents in alpha and numeric form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Time of day the ticket voucher was printed in twenty-four hour format showing hours and minutes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Date indicated by the day, month, year format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Video lottery machine serial number;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V</w:t>
      </w:r>
      <w:r>
        <w:rPr>
          <w:rFonts w:ascii="Times New Roman" w:hAnsi="Times New Roman"/>
          <w:sz w:val="24"/>
          <w:lang w:val="en-US" w:bidi="en-US" w:eastAsia="en-US"/>
        </w:rPr>
        <w:t>alidation number.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49 SDR 51, effective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November 27, 2022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42-7A-21(3)(1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42-7A-37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2022-11-25T15:06:01Z</dcterms:modified>
  <cp:revision>7</cp:revision>
</cp:coreProperties>
</file>