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67:42:17:16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</w:rPr>
        <w:t>Confidentiality.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color w:val="auto"/>
          <w:sz w:val="24"/>
        </w:rPr>
        <w:t>The files and records of a provider are confidential. A child’s records, photographs, and information about a child or the child's family may not be shared or publicly posted, unless the parent signs a consent form. Nothing in this section prevents licensing specialists, child protective services, or law enforcement from accessing the files and records of a provider or family information</w:t>
      </w:r>
      <w:r>
        <w:rPr>
          <w:rFonts w:ascii="Times New Roman" w:hAnsi="Times New Roman"/>
          <w:color w:val="auto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49 SDR 124, effective J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uly 3, 2023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26-6-16.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26-6-16(3)(6)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2023-07-05T21:22:08Z</dcterms:modified>
  <cp:revision>8</cp:revision>
</cp:coreProperties>
</file>