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67:42:17:1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8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Ongoing training requirements.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All providers must obtain annual training in the topic areas identified in 45 C.F.R. § 98.41, in effect on September 30, 2016, or as identified by the department.  Training must be documented and relevant to the provider’s position as determined by the department. Training may include on-site or online classes. Pediatric cardiopulmonary resuscitation renewal may not be included in annual training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color w:val="auto"/>
          <w:sz w:val="24"/>
        </w:rPr>
        <w:t>Each director and provider of center and school-age programs counted in staff-child ratios shall complete ten hours of annual training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color w:val="auto"/>
          <w:sz w:val="24"/>
        </w:rPr>
        <w:t>Each provider of family day care counted in staff-child ratios shall complete six hours of annual training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</w:r>
      <w:r>
        <w:rPr>
          <w:rFonts w:ascii="Times New Roman" w:hAnsi="Times New Roman"/>
          <w:color w:val="auto"/>
          <w:sz w:val="24"/>
        </w:rPr>
        <w:t>Orientation training hours qualify as annual training hours for each provider in the year the training was completed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color w:val="auto"/>
          <w:sz w:val="24"/>
          <w:lang w:val="en-US" w:bidi="en-US" w:eastAsia="en-US"/>
        </w:rPr>
        <w:tab/>
      </w:r>
      <w:r>
        <w:rPr>
          <w:rFonts w:ascii="Times New Roman" w:hAnsi="Times New Roman"/>
          <w:color w:val="auto"/>
          <w:sz w:val="24"/>
        </w:rPr>
        <w:t>Every five years, all providers shall complete additional, advanced training in each of the training areas listed in §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 </w:t>
      </w:r>
      <w:r>
        <w:rPr>
          <w:rFonts w:ascii="Times New Roman" w:hAnsi="Times New Roman"/>
          <w:color w:val="auto"/>
          <w:sz w:val="24"/>
        </w:rPr>
        <w:t>67:42:17:17</w:t>
      </w:r>
      <w:r>
        <w:rPr>
          <w:rFonts w:ascii="Times New Roman" w:hAnsi="Times New Roman"/>
          <w:color w:val="auto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49 SDR 124, ef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fe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ctive July 3,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26-6-16.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26-6-16(1)(6)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Cross-Reference: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</w:rPr>
      </w:pP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 xml:space="preserve">Health and safety requirements, 45 C.F.R. </w:t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§</w:t>
      </w:r>
      <w:r>
        <w:rPr>
          <w:rFonts w:ascii="Times New Roman" w:hAnsi="Times New Roman"/>
          <w:b w:val="0"/>
          <w:sz w:val="24"/>
          <w:szCs w:val="20"/>
          <w:lang w:val="en-US" w:bidi="en-US" w:eastAsia="en-US"/>
        </w:rPr>
        <w:t> 98.41.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2023-07-05T21:39:28Z</dcterms:modified>
  <cp:revision>9</cp:revision>
</cp:coreProperties>
</file>