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20:61:02:03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Educational requirements -- Structure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In addition to the requirements in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20:61:02:02, the program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sz w:val="24"/>
        </w:rPr>
        <w:t>of study must be either an in-person course or a combination of online and in-person instructor facilitated lectures. An in-person course must have a minimum of thirty-six hours of instruction. A blended course must have a minimum of twenty-two hours of in-person instruction</w:t>
      </w:r>
      <w:r>
        <w:rPr>
          <w:rFonts w:ascii="Times New Roman" w:hAnsi="Times New Roman"/>
          <w:b w:val="1"/>
          <w:sz w:val="24"/>
        </w:rPr>
        <w:t xml:space="preserve">. </w:t>
      </w:r>
      <w:r>
        <w:rPr>
          <w:rFonts w:ascii="Times New Roman" w:hAnsi="Times New Roman"/>
          <w:sz w:val="24"/>
        </w:rPr>
        <w:t>The course or program must have a written examination at the conclusion of the program to prove competency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12, effective August 10,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36-4B-18.1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2023-08-02T15:06:45Z</dcterms:modified>
  <cp:revision>7</cp:revision>
</cp:coreProperties>
</file>