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20:79:01:15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Supervision of speech-language pathologist provisional licensee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A supervised postgraduate professional experience, as referenced in SDCL 36-37-14(5), comprises three segments. Each segment requires the supervisor provide six hours of direct observation of the provisional licensee and six hours of indirect observation of the provisional licensee. If a provisional licensee has more than one supervisor, the  supervisors must coordinate to collectively complete the provisional licensee’s observation hours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23, effective September 3,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36-37-12.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36-37-14(5), 36-37-17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0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 xml:space="preserve">Example: </w:t>
      </w:r>
      <w:r>
        <w:rPr>
          <w:rFonts w:ascii="Times New Roman" w:hAnsi="Times New Roman"/>
          <w:sz w:val="24"/>
        </w:rPr>
        <w:t>Indirect observation includes reviewing diagnostic reports, treatment records, and treatment plans; monitoring participation in case conferences and professional meetings; and evaluations through consultation with colleagues, clients, or client families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2023-08-25T18:32:37Z</dcterms:modified>
  <cp:revision>7</cp:revision>
</cp:coreProperties>
</file>