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61:33:01:06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Burn barrel use requirements.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following conditions apply to burn barrel permits under this chapter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 burn barrel, once permitted, may not be modified, or moved to a new location on the property and utilized under the same permit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 burn barrel permit is only for domestic or ranch use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 xml:space="preserve">A burn </w:t>
      </w:r>
      <w:r>
        <w:rPr>
          <w:rFonts w:ascii="Times New Roman" w:hAnsi="Times New Roman"/>
          <w:sz w:val="24"/>
          <w:lang w:val="en-US" w:bidi="en-US" w:eastAsia="en-US"/>
        </w:rPr>
        <w:t xml:space="preserve">barrel </w:t>
      </w:r>
      <w:r>
        <w:rPr>
          <w:rFonts w:ascii="Times New Roman" w:hAnsi="Times New Roman"/>
          <w:sz w:val="24"/>
        </w:rPr>
        <w:t>must be monitored at all times if flames are visible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 burn barrel grate or screen must be in place covering the top of the barrel when in use;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Burn barrels are not permitted when county ordinances prohibit their use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47, effective October 16,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34-35-16, 34-35-17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2023-10-05T20:41:26Z</dcterms:modified>
  <cp:revision>7</cp:revision>
</cp:coreProperties>
</file>