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02:01:06:02.03</w:t>
      </w:r>
      <w:r>
        <w:rPr>
          <w:rFonts w:ascii="Times New Roman" w:hAnsi="Times New Roman"/>
          <w:b w:val="1"/>
          <w:sz w:val="24"/>
          <w:szCs w:val="20"/>
        </w:rPr>
        <w:t>.  </w:t>
      </w:r>
      <w:bookmarkStart w:id="0" w:name="_Hlk141860087"/>
      <w:r>
        <w:rPr>
          <w:rFonts w:ascii="Times New Roman" w:hAnsi="Times New Roman"/>
          <w:b w:val="1"/>
          <w:sz w:val="24"/>
        </w:rPr>
        <w:t>Temporary or probationary period reset</w:t>
      </w:r>
      <w:bookmarkEnd w:id="0"/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Notwithstanding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2:01:06:02.02, the Law Enforcement Officers Standards and Training Commission shall grant a person an additional twelve months to complete the training program required by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2:01:06:01 if said person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  <w:lang w:val="en-US" w:bidi="en-US" w:eastAsia="en-US"/>
        </w:rPr>
        <w:t>(1)  </w:t>
      </w:r>
      <w:r>
        <w:rPr>
          <w:rFonts w:ascii="Times New Roman" w:hAnsi="Times New Roman"/>
          <w:sz w:val="24"/>
        </w:rPr>
        <w:t>Separated from a law enforcement agency during the person's temporary or probationary period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Has not been employed as a noncertified law enforcement officer for three or more years from date of first appointment;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  <w:lang w:val="en-US" w:bidi="en-US" w:eastAsia="en-US"/>
        </w:rPr>
        <w:t>(3)  </w:t>
      </w:r>
      <w:r>
        <w:rPr>
          <w:rFonts w:ascii="Times New Roman" w:hAnsi="Times New Roman"/>
          <w:sz w:val="24"/>
        </w:rPr>
        <w:t>Is appointed to a South Dakota law enforcement agency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50 SDR 63, effective November 2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8, 2023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23-3-35(3), 23-3-41.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23-3-35(3), 23-3-41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1" w:name="_GoBack"/>
      <w:bookmarkEnd w:id="1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2023-11-27T15:37:31Z</dcterms:modified>
  <cp:revision>10</cp:revision>
</cp:coreProperties>
</file>