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05:02:23:07</w:t>
      </w:r>
      <w:r>
        <w:rPr>
          <w:rFonts w:ascii="Times New Roman" w:hAnsi="Times New Roman"/>
          <w:b w:val="1"/>
          <w:sz w:val="24"/>
          <w:szCs w:val="20"/>
        </w:rPr>
        <w:t>.  Public vote count.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</w:rPr>
        <w:t>At the post-election audit, the post-election auditing board shall publicly manually count the votes and only adjourn after the count is completed and the certificate of post-election audit signed. The post-election auditing board may only exclude or prohibit a member of the public from witnessing any portion of the post-election audit if that person's conduct is disruptive</w:t>
      </w:r>
      <w:r>
        <w:rPr>
          <w:rFonts w:ascii="Times New Roman" w:hAnsi="Times New Roman"/>
          <w:sz w:val="24"/>
          <w:szCs w:val="20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</w:rPr>
        <w:t>Source: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50 SDR 66, effective December 5, 2023.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</w:rPr>
        <w:t>General Authority:</w:t>
      </w:r>
      <w:r>
        <w:rPr>
          <w:rFonts w:ascii="Times New Roman" w:hAnsi="Times New Roman"/>
          <w:sz w:val="24"/>
          <w:szCs w:val="20"/>
        </w:rPr>
        <w:t xml:space="preserve"> SDCL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12-1-9(4)(11).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</w:rPr>
        <w:t>Law Implemented:</w:t>
      </w:r>
      <w:r>
        <w:rPr>
          <w:rFonts w:ascii="Times New Roman" w:hAnsi="Times New Roman"/>
          <w:sz w:val="24"/>
          <w:szCs w:val="20"/>
        </w:rPr>
        <w:t xml:space="preserve"> SDCL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12-17B-18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; 12-17B-20, 12-17B-21</w:t>
      </w:r>
      <w:r>
        <w:rPr>
          <w:rFonts w:ascii="Times New Roman" w:hAnsi="Times New Roman"/>
          <w:sz w:val="24"/>
          <w:szCs w:val="20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bookmarkStart w:id="0" w:name="_GoBack"/>
      <w:bookmarkEnd w:id="0"/>
    </w:p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Kumpf, Kevin</dc:creator>
  <dcterms:created xsi:type="dcterms:W3CDTF">2015-11-30T21:41:00Z</dcterms:created>
  <cp:lastModifiedBy>Kelly Thompson</cp:lastModifiedBy>
  <dcterms:modified xsi:type="dcterms:W3CDTF">2023-12-20T20:08:46Z</dcterms:modified>
  <cp:revision>9</cp:revision>
</cp:coreProperties>
</file>