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05:02:23:08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</w:rPr>
        <w:t>Opening receptacle or container.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The sealed receptacle or container must be unsealed and the ballots taken out, and sorted by precinct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66, eff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ective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December 5, 2023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12-1-9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(4)(11).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12-17B-18, 12-17B-20, 12-17B-25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2023-11-29T21:42:45Z</dcterms:modified>
  <cp:revision>7</cp:revision>
</cp:coreProperties>
</file>