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05:02:23:09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Auditing procedures.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following procedure must be used in auditing a precinct by manually counting the ballots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The post-election auditing board shall review ballots for proper marking procedure according to the voting instructions below. The post-election auditing board shall determine the votes to count as follows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(a)  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shd w:val="clear" w:color="auto" w:fill="FFFFFF"/>
        </w:rPr>
        <w:t xml:space="preserve"> mark that is inside the oval on an optical scan ballot is counted as a vote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  <w:lang w:val="en-US" w:bidi="en-US" w:eastAsia="en-US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ab/>
        <w:t>(b)  </w:t>
      </w:r>
      <w:r>
        <w:rPr>
          <w:rFonts w:ascii="Times New Roman" w:hAnsi="Times New Roman"/>
          <w:sz w:val="24"/>
          <w:shd w:val="clear" w:color="auto" w:fill="FFFFFF"/>
        </w:rPr>
        <w:t>Any mark on an optical scan ballot that does not touch the oval and is not in the oval may not be counted as a vote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  <w:lang w:val="en-US" w:bidi="en-US" w:eastAsia="en-US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ab/>
        <w:t>(c)  </w:t>
      </w:r>
      <w:r>
        <w:rPr>
          <w:rFonts w:ascii="Times New Roman" w:hAnsi="Times New Roman"/>
          <w:sz w:val="24"/>
          <w:shd w:val="clear" w:color="auto" w:fill="FFFFFF"/>
        </w:rPr>
        <w:t>A mark on an optical scan ballot that touches two or more ovals is an over-vote and not counted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ab/>
        <w:t>(d)  </w:t>
      </w:r>
      <w:r>
        <w:rPr>
          <w:rFonts w:ascii="Times New Roman" w:hAnsi="Times New Roman"/>
          <w:sz w:val="24"/>
          <w:shd w:val="clear" w:color="auto" w:fill="FFFFFF"/>
        </w:rPr>
        <w:t>A write-in vote may not be counted;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ab/>
        <w:t>(e)  </w:t>
      </w:r>
      <w:r>
        <w:rPr>
          <w:rFonts w:ascii="Times New Roman" w:hAnsi="Times New Roman"/>
          <w:sz w:val="24"/>
          <w:shd w:val="clear" w:color="auto" w:fill="FFFFFF"/>
        </w:rPr>
        <w:t>Express votes are to be counted as shown on the Express vote ballot;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hd w:val="clear" w:color="auto" w:fill="FFFFFF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A majority vote of the post-election auditing board shall determine any question arising from the post-election audit;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The post-election auditing board shall certify the results as manually counted for the post-election audit by completing the certificate of post-election audit as provided in § 5:02:23:12. The board shall file the certificate of post-election audit with the county auditor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66, effective Dec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ember 5,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(4)(11).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12-17B-18, 12-17B-20, 12-17B-22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2023-11-29T21:48:44Z</dcterms:modified>
  <cp:revision>7</cp:revision>
</cp:coreProperties>
</file>