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05:02:23:10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</w:rPr>
        <w:t>Tally of ballots.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 xml:space="preserve">As the vote is announced by a post-election auditing board member, another board member must make the appropriate mark on the post-election audit tally sheet prescribed in § 5:02:23:11. </w:t>
      </w:r>
      <w:r>
        <w:rPr>
          <w:rFonts w:ascii="Times New Roman" w:hAnsi="Times New Roman"/>
          <w:sz w:val="24"/>
        </w:rPr>
        <w:t>Yet another board member shall make the appropriate mark on a duplicate post-election audit tally sheet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 xml:space="preserve">50 SDR 66, effective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December 5, 2023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12-1-9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(4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)(11).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12-17B-20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2023-11-29T21:51:19Z</dcterms:modified>
  <cp:revision>7</cp:revision>
</cp:coreProperties>
</file>