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05:02:23:11</w:t>
      </w:r>
      <w:r>
        <w:rPr>
          <w:rFonts w:ascii="Times New Roman" w:hAnsi="Times New Roman"/>
          <w:b w:val="1"/>
          <w:sz w:val="24"/>
          <w:szCs w:val="20"/>
        </w:rPr>
        <w:t>.  </w:t>
      </w:r>
      <w:r>
        <w:rPr>
          <w:rFonts w:ascii="Times New Roman" w:hAnsi="Times New Roman"/>
          <w:b w:val="1"/>
          <w:sz w:val="24"/>
          <w:szCs w:val="20"/>
        </w:rPr>
        <w:t>Post-election audit tally sheets.</w:t>
      </w:r>
      <w:r>
        <w:rPr>
          <w:rFonts w:ascii="Times New Roman" w:hAnsi="Times New Roman"/>
          <w:sz w:val="24"/>
          <w:szCs w:val="20"/>
        </w:rPr>
        <w:t xml:space="preserve"> </w:t>
      </w:r>
      <w:r>
        <w:rPr>
          <w:rFonts w:ascii="Times New Roman" w:hAnsi="Times New Roman"/>
          <w:sz w:val="24"/>
        </w:rPr>
        <w:t xml:space="preserve">As shown below, a post-election audit tally sheet must contain a series of horizontal and vertical grid lines to form boxes of suitable size to contain five tally marks each, four of which may be upright and the fifth crossing the others at an oblique angle. Each fifth vertical grid line in the ruling must be red, so that five boxes for tally marks are contained between two red lines. Sufficient space must be provided in the left margin of each post-election audit tally sheet  to legibly print or write in ink the name of the contest audited, with the name of the individual candidates or ballot question answers listed in the same order as on the official ballots used in the election. Sufficient space must be allowed in the right margin of the post-election audit tally sheet to legibly print or write in ink the total votes for each candidate or ballot question answer counted</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drawing>
          <wp:inline xmlns:wp="http://schemas.openxmlformats.org/drawingml/2006/wordprocessingDrawing" distT="0" distB="0" distL="0" distR="0">
            <wp:extent cx="6053455" cy="5440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xmlns:r="http://schemas.openxmlformats.org/officeDocument/2006/relationships" r:embed="Relimage1"/>
                    <a:srcRect/>
                    <a:stretch>
                      <a:fillRect/>
                    </a:stretch>
                  </pic:blipFill>
                  <pic:spPr>
                    <a:xfrm>
                      <a:off x="0" y="0"/>
                      <a:ext cx="6053455" cy="5440680"/>
                    </a:xfrm>
                    <a:prstGeom prst="rect"/>
                  </pic:spPr>
                </pic:pic>
              </a:graphicData>
            </a:graphic>
          </wp:inline>
        </w:drawing>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50 SDR 66, effective December 5, 2023</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12-1-9(4)(11).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12-17B-20</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2023-11-29T21:54:42Z</dcterms:modified>
  <cp:revision>8</cp:revision>
</cp:coreProperties>
</file>