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05:02:23:15</w:t>
      </w:r>
      <w:r>
        <w:rPr>
          <w:rFonts w:ascii="Times New Roman" w:hAnsi="Times New Roman"/>
          <w:b w:val="1"/>
          <w:sz w:val="24"/>
          <w:szCs w:val="20"/>
        </w:rPr>
        <w:t>.  </w:t>
      </w:r>
      <w:r>
        <w:rPr>
          <w:rFonts w:ascii="Times New Roman" w:hAnsi="Times New Roman"/>
          <w:b w:val="1"/>
          <w:sz w:val="24"/>
        </w:rPr>
        <w:t>Reimbursement of post-election audit costs.</w:t>
      </w:r>
      <w:r>
        <w:rPr>
          <w:rFonts w:ascii="Times New Roman" w:hAnsi="Times New Roman"/>
          <w:sz w:val="24"/>
          <w:szCs w:val="20"/>
        </w:rPr>
        <w:t xml:space="preserve"> </w:t>
      </w:r>
      <w:r>
        <w:rPr>
          <w:rFonts w:ascii="Times New Roman" w:hAnsi="Times New Roman"/>
          <w:sz w:val="24"/>
        </w:rPr>
        <w:t xml:space="preserve">The county auditor shall submit expenses from the post-election audit to the secretary of state for reimbursement.  The auditor shall use the forms designated by the secretary of state for this purpose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sz w:val="24"/>
        </w:rPr>
        <w:t>Reimbursable expenses for the audit, are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szCs w:val="20"/>
        </w:rPr>
        <w:tab/>
      </w:r>
      <w:r>
        <w:rPr>
          <w:rFonts w:ascii="Times New Roman" w:hAnsi="Times New Roman"/>
          <w:sz w:val="24"/>
          <w:szCs w:val="20"/>
          <w:lang w:val="en-US" w:bidi="en-US" w:eastAsia="en-US"/>
        </w:rPr>
        <w:t>(1)  </w:t>
      </w:r>
      <w:r>
        <w:rPr>
          <w:rFonts w:ascii="Times New Roman" w:hAnsi="Times New Roman"/>
          <w:sz w:val="24"/>
        </w:rPr>
        <w:t>Board member pay for conducting the audit and for training prior to the audit, not to exceed twenty-five dollars per hour worked but no less than minimum wage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(2)  </w:t>
      </w:r>
      <w:r>
        <w:rPr>
          <w:rFonts w:ascii="Times New Roman" w:hAnsi="Times New Roman"/>
          <w:sz w:val="24"/>
        </w:rPr>
        <w:t>Supplies, including postage, no more than two hundred dollars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(3)  </w:t>
      </w:r>
      <w:r>
        <w:rPr>
          <w:rFonts w:ascii="Times New Roman" w:hAnsi="Times New Roman"/>
          <w:sz w:val="24"/>
        </w:rPr>
        <w:t>Rental costs for the location to conduct the audit, no more than two hundred fifty dollars per day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(4)  </w:t>
      </w:r>
      <w:r>
        <w:rPr>
          <w:rFonts w:ascii="Times New Roman" w:hAnsi="Times New Roman"/>
          <w:sz w:val="24"/>
        </w:rPr>
        <w:t>Publication costs, no more than one hundred seventy-five dollars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(5)  </w:t>
      </w:r>
      <w:r>
        <w:rPr>
          <w:rFonts w:ascii="Times New Roman" w:hAnsi="Times New Roman"/>
          <w:sz w:val="24"/>
        </w:rPr>
        <w:t>Ballot storage costs, no more than seventy-five dollars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(6)  </w:t>
      </w:r>
      <w:r>
        <w:rPr>
          <w:rFonts w:ascii="Times New Roman" w:hAnsi="Times New Roman"/>
          <w:sz w:val="24"/>
        </w:rPr>
        <w:t>Travel (mileage) costs at the state per diem rate for every mile traveled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t>(7)  </w:t>
      </w:r>
      <w:r>
        <w:rPr>
          <w:rFonts w:ascii="Times New Roman" w:hAnsi="Times New Roman"/>
          <w:sz w:val="24"/>
        </w:rPr>
        <w:t>Meal reimbursement at state per diem meal rates;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(8)  </w:t>
      </w:r>
      <w:r>
        <w:rPr>
          <w:rFonts w:ascii="Times New Roman" w:hAnsi="Times New Roman"/>
          <w:sz w:val="24"/>
        </w:rPr>
        <w:t>Auditor and auditor's staff actual wages for hours spent training and assisting the post- election audit board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lang w:val="en-US" w:bidi="en-US" w:eastAsia="en-US"/>
        </w:rPr>
        <w:tab/>
      </w:r>
      <w:r>
        <w:rPr>
          <w:rFonts w:ascii="Times New Roman" w:hAnsi="Times New Roman"/>
          <w:sz w:val="24"/>
        </w:rPr>
        <w:t xml:space="preserve">Expenses related to or associated with the primary or general election are not reimbursable post-election expenses.  To avoid confusion, expenses that are not covered are costs related to media programming, ballot printing, ballot shipping, equipment maintenance, statewide ballot question publications, purchasing of election equipment (express votes, tabulators), polling place signage, testing costs, election day workers, postage, and insurance on voting equipment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50 SDR 66, effective December</w:t>
      </w:r>
      <w:r>
        <w:rPr>
          <w:rFonts w:ascii="Times New Roman" w:hAnsi="Times New Roman"/>
          <w:sz w:val="24"/>
          <w:szCs w:val="20"/>
          <w:lang w:val="en-US" w:bidi="en-US" w:eastAsia="en-US"/>
        </w:rPr>
        <w:t xml:space="preserve"> 5, 2023</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12-1-9(4)(11).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12-17B-9</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2023-11-29T22:26:35Z</dcterms:modified>
  <cp:revision>8</cp:revision>
</cp:coreProperties>
</file>