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20:48:04:01.03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Supervision of a licensed practical nurse.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registered nurse or advanced practice registered nurse who supervises the practice of a licensed practical nurse shall determine if direct or minimal supervision is required after considering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The educational preparation of the licensed practical nurse, including the basic educational program and the knowledge and skills subsequently acquired by the nurse through continuing education and practice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(2)  </w:t>
      </w:r>
      <w:r>
        <w:rPr>
          <w:rFonts w:ascii="Times New Roman" w:hAnsi="Times New Roman"/>
          <w:sz w:val="24"/>
        </w:rPr>
        <w:t>The depth of knowledge needed to perform the task and the potential threat to the client's well-being. If the provider determines a task is complex, direct supervision must be provided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The stability of the nursing situation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hd w:val="clear" w:color="auto" w:fill="FFFFFF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</w:rPr>
        <w:t>In a stable nursing situation, the licensed practical nurse may practice with minimal supervision. T</w:t>
      </w:r>
      <w:r>
        <w:rPr>
          <w:rFonts w:ascii="Times New Roman" w:hAnsi="Times New Roman"/>
          <w:sz w:val="24"/>
          <w:shd w:val="clear" w:color="auto" w:fill="FFFFFF"/>
        </w:rPr>
        <w:t>he supervisor is physically on the premises where the client is being cared for or readily available by electronic communication</w:t>
      </w:r>
      <w:r>
        <w:rPr>
          <w:rFonts w:ascii="Times New Roman" w:hAnsi="Times New Roman"/>
          <w:sz w:val="24"/>
          <w:shd w:val="clear" w:color="auto" w:fill="FFFFFF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hd w:val="clear" w:color="auto" w:fill="FFFFFF"/>
          <w:lang w:val="en-US" w:bidi="en-US" w:eastAsia="en-US"/>
        </w:rPr>
        <w:tab/>
        <w:tab/>
        <w:t>(b)  </w:t>
      </w:r>
      <w:r>
        <w:rPr>
          <w:rFonts w:ascii="Times New Roman" w:hAnsi="Times New Roman"/>
          <w:sz w:val="24"/>
        </w:rPr>
        <w:t>In a complex nursing situation, the licensed practical nurse must practice under direct supervision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The qualifications and number of personnel in the facility where the licensed practical nurse practices and the proximity of the clients to personnel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Accessible resources in the facility;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</w:rPr>
        <w:t>Established policies, procedures, practices, and channels of communication that lend support to the types of nursing services offered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69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Decem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ber 10,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36-9-21(2).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36-9-3(11), 36-9-4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2023-11-30T16:22:44Z</dcterms:modified>
  <cp:revision>8</cp:revision>
</cp:coreProperties>
</file>