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24:28:16:02.01</w:t>
      </w:r>
      <w:r>
        <w:rPr>
          <w:rFonts w:ascii="Times New Roman" w:hAnsi="Times New Roman"/>
          <w:b w:val="1"/>
          <w:sz w:val="24"/>
          <w:szCs w:val="20"/>
        </w:rPr>
        <w:t>.  </w:t>
      </w:r>
      <w:r>
        <w:rPr>
          <w:rFonts w:ascii="Times New Roman" w:hAnsi="Times New Roman"/>
          <w:b w:val="1"/>
          <w:sz w:val="24"/>
        </w:rPr>
        <w:t>Eligibility for reciprocity for international educators</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rPr>
        <w:t>The secretary may issue an educator certificate to an international applicant for reciprocity certificate, if the applicant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sz w:val="24"/>
          <w:szCs w:val="20"/>
          <w:lang w:val="en-US" w:bidi="en-US" w:eastAsia="en-US"/>
        </w:rPr>
        <w:t>(1)  </w:t>
      </w:r>
      <w:r>
        <w:rPr>
          <w:rFonts w:ascii="Times New Roman" w:hAnsi="Times New Roman"/>
          <w:sz w:val="24"/>
        </w:rPr>
        <w:t xml:space="preserve">Holds the U.S. equivalent of a bachelor's degree or higher, as shown by a course-by-course credential report of university-level credit completed by an </w:t>
      </w:r>
      <w:r>
        <w:rPr>
          <w:rStyle w:val="C3"/>
          <w:shd w:val="clear" w:color="auto" w:fill="FFFFFF"/>
        </w:rPr>
        <w:t>agency approved by the Association of International Credential Evaluators or the National Association of Credential Evaluation Services</w:t>
      </w:r>
      <w:r>
        <w:rPr>
          <w:rFonts w:ascii="Times New Roman" w:hAnsi="Times New Roman"/>
          <w:sz w:val="24"/>
        </w:rPr>
        <w:t xml:space="preserve"> that states the course title, grade, and number of semester credit hours earned for each course and the U.S. equivalency of the degree earned</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szCs w:val="20"/>
        </w:rPr>
        <w:tab/>
      </w:r>
      <w:r>
        <w:rPr>
          <w:rFonts w:ascii="Times New Roman" w:hAnsi="Times New Roman"/>
          <w:sz w:val="24"/>
          <w:szCs w:val="20"/>
          <w:lang w:val="en-US" w:bidi="en-US" w:eastAsia="en-US"/>
        </w:rPr>
        <w:t>(2)  </w:t>
      </w:r>
      <w:r>
        <w:rPr>
          <w:rFonts w:ascii="Times New Roman" w:hAnsi="Times New Roman"/>
          <w:sz w:val="24"/>
        </w:rPr>
        <w:t>Provides documentation showing completion of a program equivalent to a department-approved educator preparation program;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(3)  Submits: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tab/>
        <w:t>(a)  </w:t>
      </w:r>
      <w:r>
        <w:rPr>
          <w:rFonts w:ascii="Times New Roman" w:hAnsi="Times New Roman"/>
          <w:sz w:val="24"/>
        </w:rPr>
        <w:t>Documentation showing that the applicant holds a foreign educator credential in a teaching field comparable to a field recognized in South Dakota;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lang w:val="en-US" w:bidi="en-US" w:eastAsia="en-US"/>
        </w:rPr>
        <w:tab/>
        <w:tab/>
        <w:t>(b)  </w:t>
      </w:r>
      <w:r>
        <w:rPr>
          <w:rFonts w:ascii="Times New Roman" w:hAnsi="Times New Roman"/>
          <w:sz w:val="24"/>
        </w:rPr>
        <w:t>Documentation, completed by the superintendent, principal, agency director, or designated personnel officer of the foreign school where the applicant is currently or was previously employed, showing that the applicant has at least three years of experience in the applicant's certification area within the previous five calendar years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50 SDR 158, effective July 3, 2024</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13-1-12.1, 13-42-3.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rPr>
        <w:t>13-1.12.1, 13-42-1 to 13-42-4, inclusive, 13-43-5, 13-43-5.1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4d52a477-cde0-4254-b08c-a2988298b2bdc0"/>
    <w:basedOn w:val="C0"/>
    <w:rPr>
      <w:rFonts w:ascii="Times New Roman" w:hAnsi="Times New Roman"/>
      <w:sz w:val="2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2024-07-01T16:18:38Z</dcterms:modified>
  <cp:revision>7</cp:revision>
</cp:coreProperties>
</file>