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20:48:16:05</w:t>
      </w:r>
      <w:r>
        <w:rPr>
          <w:rFonts w:ascii="Times New Roman" w:hAnsi="Times New Roman"/>
          <w:b w:val="1"/>
          <w:sz w:val="24"/>
          <w:szCs w:val="20"/>
        </w:rPr>
        <w:t>.  </w:t>
      </w:r>
      <w:r>
        <w:rPr>
          <w:rFonts w:ascii="Times New Roman" w:hAnsi="Times New Roman"/>
          <w:b w:val="1"/>
          <w:sz w:val="24"/>
          <w:szCs w:val="20"/>
          <w:lang w:val="en-US" w:bidi="en-US" w:eastAsia="en-US"/>
        </w:rPr>
        <w:t>Name change requirements</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 xml:space="preserve">If </w:t>
      </w:r>
      <w:r>
        <w:rPr>
          <w:rStyle w:val="C3"/>
          <w:rFonts w:ascii="Times New Roman" w:hAnsi="Times New Roman"/>
          <w:sz w:val="24"/>
          <w:shd w:val="clear" w:color="auto" w:fill="FFFFFF"/>
        </w:rPr>
        <w:t xml:space="preserve">an applicant or registrant </w:t>
      </w:r>
      <w:r>
        <w:rPr>
          <w:rStyle w:val="C4"/>
          <w:rFonts w:ascii="Times New Roman" w:hAnsi="Times New Roman"/>
          <w:sz w:val="24"/>
        </w:rPr>
        <w:t>has a ch</w:t>
      </w:r>
      <w:r>
        <w:rPr>
          <w:rStyle w:val="C5"/>
          <w:rFonts w:ascii="Times New Roman" w:hAnsi="Times New Roman"/>
          <w:sz w:val="24"/>
        </w:rPr>
        <w:t>ange of name, the applicant or registrant must, within sixty days, submit to the board an application and a certified copy of the legal instrument or other written evidence that authenticates the name change. The board shall, upon receipt of the application and legal instrument or other evidence, add the name to the applicant’s registration application or change the registrant’s name on the board’s nursing assistant registry</w:t>
      </w:r>
      <w:r>
        <w:rPr>
          <w:rStyle w:val="C5"/>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51 SDR 16, effective August 18,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36-9-21.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36-9-21(5)</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b w:val="1"/>
          <w:sz w:val="24"/>
          <w:szCs w:val="20"/>
        </w:rPr>
      </w:pPr>
      <w:r>
        <w:rPr>
          <w:rFonts w:ascii="Times New Roman" w:hAnsi="Times New Roman"/>
          <w:sz w:val="24"/>
          <w:szCs w:val="20"/>
          <w:lang w:val="en-US" w:bidi="en-US" w:eastAsia="en-US"/>
        </w:rPr>
        <w:tab/>
      </w:r>
      <w:r>
        <w:rPr>
          <w:rFonts w:ascii="Times New Roman" w:hAnsi="Times New Roman"/>
          <w:b w:val="1"/>
          <w:sz w:val="24"/>
          <w:szCs w:val="20"/>
          <w:lang w:val="en-US" w:bidi="en-US" w:eastAsia="en-US"/>
        </w:rPr>
        <w:t xml:space="preserve">Cross Reference: </w:t>
      </w:r>
      <w:r>
        <w:rPr>
          <w:rFonts w:ascii="Times New Roman" w:hAnsi="Times New Roman"/>
          <w:sz w:val="24"/>
        </w:rPr>
        <w:t>Court proceedings not required for nonfraudulent change to new, consistently used name, Attorney General's Opinion No. 77-31</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s0ac26d8b-7f80-4eb2-966a-d73944453958c0"/>
    <w:basedOn w:val="C0"/>
    <w:rPr>
      <w:rFonts w:ascii="Times New Roman" w:hAnsi="Times New Roman"/>
      <w:sz w:val="24"/>
    </w:rPr>
  </w:style>
  <w:style w:type="character" w:styleId="C4">
    <w:name w:val="cf11"/>
    <w:basedOn w:val="C0"/>
    <w:rPr>
      <w:rFonts w:ascii="Segoe UI" w:hAnsi="Segoe UI"/>
      <w:sz w:val="24"/>
    </w:rPr>
  </w:style>
  <w:style w:type="character" w:styleId="C5">
    <w:name w:val="cf01"/>
    <w:basedOn w:val="C0"/>
    <w:rPr>
      <w:rFonts w:ascii="Segoe UI" w:hAnsi="Segoe UI"/>
      <w:sz w:val="24"/>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2024-08-06T20:27:15Z</dcterms:modified>
  <cp:revision>7</cp:revision>
</cp:coreProperties>
</file>