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44:05:07:01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Application form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An application for a hardship exemption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The name of the ambulance service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The ambulance service owner’s or chief executive officer’s name, official title, address, email address, and phone number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Documentation that the ambulance service solicited applications from family medicine, internal medicine, emergency medicine, or other qualified medical specialty physicians who are within a fifty-mile radius of the ambulance service coverage area and credentialed to work at the primary receiving facility for the ambulance service and from whom no applications were received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Documentation that any fee that might be charged by physician willing and available to serve as the medical director is not reasonable and customary and would pose a financial hardship to the ambulance service;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The name, credentials, and contact information for the program director being requested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An application must be received by the department at least thirty days prior to the intended start date of the program director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36, effective September 30,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34-11-12.2.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34-11-12.2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 xml:space="preserve">Cross Reference: 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Approval of har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 xml:space="preserve">dship exempion applications, 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§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 44:05:07:02.</w:t>
      </w: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2024-09-30T19:45:50Z</dcterms:modified>
  <cp:revision>11</cp:revision>
</cp:coreProperties>
</file>