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44:05:08:01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Quality assurance program standards.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In addition to the chart review requirement in SDCL 34-11-11, each ambulance service that provides advanced life support, as defined in SDCL 36-4B-1, shall have the following written quality assurance standards in place that conform with industry safety and scope of practice standards: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</w:t>
      </w:r>
      <w:r>
        <w:rPr>
          <w:rFonts w:ascii="Times New Roman" w:hAnsi="Times New Roman"/>
          <w:sz w:val="24"/>
        </w:rPr>
        <w:t>Personnel and patient safety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Use of lights and sirens during patient transport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(3)  </w:t>
      </w:r>
      <w:r>
        <w:rPr>
          <w:rFonts w:ascii="Times New Roman" w:hAnsi="Times New Roman"/>
          <w:sz w:val="24"/>
        </w:rPr>
        <w:t>Compliance with basic life support or medical or program director approved advanced life support patient care guidelines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 xml:space="preserve">Twelve lead </w:t>
      </w:r>
      <w:r>
        <w:rPr>
          <w:rFonts w:ascii="Times New Roman" w:hAnsi="Times New Roman"/>
          <w:color w:val="202124"/>
          <w:sz w:val="24"/>
          <w:shd w:val="clear" w:color="auto" w:fill="FFFFFF"/>
        </w:rPr>
        <w:t>electrocardiogram</w:t>
      </w:r>
      <w:r>
        <w:rPr>
          <w:rFonts w:ascii="Times New Roman" w:hAnsi="Times New Roman"/>
          <w:sz w:val="24"/>
        </w:rPr>
        <w:t xml:space="preserve"> placement and transmission for patients with suspected cardiac chest pain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>Blood glucose check for a patient with a suspected stroke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</w:rPr>
        <w:t>Documentation of at least one set of vitals on every patient transport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222222"/>
          <w:sz w:val="24"/>
          <w:shd w:val="clear" w:color="auto" w:fill="FFFFFF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</w:rPr>
        <w:t xml:space="preserve">Review of all sentinel, or patient safety, events </w:t>
      </w:r>
      <w:r>
        <w:rPr>
          <w:rFonts w:ascii="Times New Roman" w:hAnsi="Times New Roman"/>
          <w:color w:val="222222"/>
          <w:sz w:val="24"/>
          <w:shd w:val="clear" w:color="auto" w:fill="FFFFFF"/>
        </w:rPr>
        <w:t>not primarily related to the natural course of a patient’s illness or underlying condition, that reaches a patient and results in death, severe or permanent harm</w:t>
      </w:r>
      <w:r>
        <w:rPr>
          <w:rFonts w:ascii="Times New Roman" w:hAnsi="Times New Roman"/>
          <w:color w:val="222222"/>
          <w:sz w:val="24"/>
          <w:shd w:val="clear" w:color="auto" w:fill="FFFFFF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color w:val="222222"/>
          <w:sz w:val="24"/>
          <w:shd w:val="clear" w:color="auto" w:fill="FFFFFF"/>
          <w:lang w:val="en-US" w:bidi="en-US" w:eastAsia="en-US"/>
        </w:rPr>
        <w:tab/>
        <w:t>(8)  </w:t>
      </w:r>
      <w:r>
        <w:rPr>
          <w:rFonts w:ascii="Times New Roman" w:hAnsi="Times New Roman"/>
          <w:sz w:val="24"/>
        </w:rPr>
        <w:t xml:space="preserve">Compliance with trauma, </w:t>
      </w:r>
      <w:r>
        <w:rPr>
          <w:rFonts w:ascii="Times New Roman" w:hAnsi="Times New Roman"/>
          <w:color w:val="202124"/>
          <w:sz w:val="24"/>
          <w:shd w:val="clear" w:color="auto" w:fill="FFFFFF"/>
        </w:rPr>
        <w:t>ST-elevation myocardial infarction</w:t>
      </w:r>
      <w:r>
        <w:rPr>
          <w:rFonts w:ascii="Times New Roman" w:hAnsi="Times New Roman"/>
          <w:sz w:val="24"/>
        </w:rPr>
        <w:t>, and stroke alert activations;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(9)  </w:t>
      </w:r>
      <w:r>
        <w:rPr>
          <w:rFonts w:ascii="Times New Roman" w:hAnsi="Times New Roman"/>
          <w:sz w:val="24"/>
        </w:rPr>
        <w:t>Medical or program director review and feedback for all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</w:t>
      </w:r>
      <w:r>
        <w:rPr>
          <w:rFonts w:ascii="Times New Roman" w:hAnsi="Times New Roman"/>
          <w:sz w:val="24"/>
        </w:rPr>
        <w:t>Cardiac arrest resuscitations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(b)  </w:t>
      </w:r>
      <w:r>
        <w:rPr>
          <w:rFonts w:ascii="Times New Roman" w:hAnsi="Times New Roman"/>
          <w:sz w:val="24"/>
        </w:rPr>
        <w:t>Patients who received rapid sequence intubation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(c)  </w:t>
      </w:r>
      <w:r>
        <w:rPr>
          <w:rFonts w:ascii="Times New Roman" w:hAnsi="Times New Roman"/>
          <w:sz w:val="24"/>
        </w:rPr>
        <w:t>Rescue airway placements after a failed intubation;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(d)  </w:t>
      </w:r>
      <w:r>
        <w:rPr>
          <w:rFonts w:ascii="Times New Roman" w:hAnsi="Times New Roman"/>
          <w:sz w:val="24"/>
        </w:rPr>
        <w:t>Pediatric patients with life threatening emergencies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51 SDR 36,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September 30, 2024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34-11-5.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34-11-11(8)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2024-09-18T20:04:41Z</dcterms:modified>
  <cp:revision>10</cp:revision>
</cp:coreProperties>
</file>