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20:61:03:02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color w:val="auto"/>
          <w:sz w:val="24"/>
        </w:rPr>
        <w:t>Reporting continuing education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color w:val="auto"/>
          <w:sz w:val="24"/>
        </w:rPr>
        <w:t>Each applicant for an emergency medical services personnel license shall submit a signed statement confirming the applicant's current certification by the National Registry of Emergency Medical Technicians or completion of the continuing education hours, pursuant to §</w:t>
      </w:r>
      <w:r>
        <w:rPr>
          <w:rFonts w:ascii="Times New Roman" w:hAnsi="Times New Roman"/>
          <w:color w:val="auto"/>
          <w:sz w:val="24"/>
          <w:lang w:val="en-US" w:bidi="en-US" w:eastAsia="en-US"/>
        </w:rPr>
        <w:t> </w:t>
      </w:r>
      <w:r>
        <w:rPr>
          <w:rFonts w:ascii="Times New Roman" w:hAnsi="Times New Roman"/>
          <w:color w:val="auto"/>
          <w:sz w:val="24"/>
        </w:rPr>
        <w:t>20:61:03:01, along with the renewal application. The applicant must present proof of the applicant's current certification or completion of the required number of continuing education hours if requested by the board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51 SD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56. eff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ect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ive November 19, 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-4B-35.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36-4B-26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2024-11-14T17:55:27Z</dcterms:modified>
  <cp:revision>8</cp:revision>
</cp:coreProperties>
</file>