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20:61:03:03</w:t>
      </w:r>
      <w:r>
        <w:rPr>
          <w:rFonts w:ascii="Times New Roman" w:hAnsi="Times New Roman"/>
          <w:b w:val="1"/>
          <w:sz w:val="24"/>
          <w:szCs w:val="20"/>
        </w:rPr>
        <w:t>.  </w:t>
      </w:r>
      <w:r>
        <w:rPr>
          <w:rFonts w:ascii="Times New Roman" w:hAnsi="Times New Roman"/>
          <w:b w:val="1"/>
          <w:color w:val="auto"/>
          <w:sz w:val="24"/>
        </w:rPr>
        <w:t>Waiver of continuing education requirements</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color w:val="auto"/>
          <w:sz w:val="24"/>
        </w:rPr>
        <w:t>The board may waive any required continuing education hours if the applicant submits an affidavit to the board that the applicant was prevented from completing the continuing education hours because of illness or undue hardship</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51 SDR 56, effective November 19, 2024</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36</w:t>
      </w:r>
      <w:r>
        <w:rPr>
          <w:rFonts w:ascii="Times New Roman" w:hAnsi="Times New Roman"/>
          <w:sz w:val="24"/>
          <w:szCs w:val="20"/>
          <w:lang w:val="en-US" w:bidi="en-US" w:eastAsia="en-US"/>
        </w:rPr>
        <w:t>-4B-26</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2024-11-14T17:57:28Z</dcterms:modified>
  <cp:revision>7</cp:revision>
</cp:coreProperties>
</file>