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:21:74.01. Lo</w:t>
      </w:r>
      <w:r>
        <w:rPr>
          <w:rFonts w:ascii="Times New Roman" w:hAnsi="Times New Roman"/>
          <w:b w:val="1"/>
          <w:sz w:val="24"/>
        </w:rPr>
        <w:t>ng-term care plan training topics for producers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training required under § 20:06:21:74 must consist of the following topics related to long-term care insurance and services, and, if applicable, qualified state long-term care insurance partnership programs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State and federal requirements and the relationship between qualified state long-term care insurance partnership programs and other public and private coverage of long-term care services, including medicaid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Available long-term care services and providers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Changes or improvements in long-term care services or providers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Alternatives to the purchase of private long-term care insurance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The effect of inflation on benefits and the importance of inflation protection;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Consumer suitability standards and guidelines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</w:rPr>
        <w:t>The training required in this section may not include subject matter that is prohibited by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20:06:18:07. A course meeting the training requirements of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20:06:21:74 and this section may be approved as a continuing education course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20:06:18:06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SDR 66, effective January 1, 202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58-30-117.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58-30-117, 58-30-118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2024-12-16T20:06:28Z</dcterms:modified>
  <cp:revision>9</cp:revision>
</cp:coreProperties>
</file>