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10:02:02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FEES CHARGEABLE FOR LEGAL PUBLICATIONS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Superseded</w:t>
      </w:r>
      <w:r>
        <w:rPr>
          <w:rFonts w:ascii="Times New Roman" w:hAnsi="Times New Roman"/>
          <w:sz w:val="24"/>
          <w:lang w:val="en-US" w:bidi="en-US" w:eastAsia="en-US"/>
        </w:rPr>
        <w:t>, 51 SDR 1, July 1, 2024)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10:02:02:01</w:t>
        <w:tab/>
        <w:tab/>
        <w:t>Maximum fees chargeable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Superseded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10:02:02:02</w:t>
        <w:tab/>
        <w:tab/>
        <w:t>Fee chargeable by newspapers with large circulation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Superseded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2004-05-27T21:57:00Z</dcterms:created>
  <cp:lastModifiedBy>Kelly Thompson</cp:lastModifiedBy>
  <dcterms:modified xsi:type="dcterms:W3CDTF">2024-06-27T20:10:24Z</dcterms:modified>
  <cp:revision>7</cp:revision>
  <dc:title>CHAPTER 10:02:02</dc:title>
</cp:coreProperties>
</file>