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Cs w:val="20"/>
        </w:rPr>
      </w:pPr>
      <w:bookmarkStart w:id="0" w:name="_GoBack"/>
      <w:bookmarkEnd w:id="0"/>
      <w:r>
        <w:rPr>
          <w:szCs w:val="20"/>
        </w:rPr>
        <w:tab/>
      </w:r>
      <w:r>
        <w:rPr>
          <w:b w:val="1"/>
          <w:szCs w:val="20"/>
        </w:rPr>
        <w:t>10:02:02:01.  Maximum fees chargeable.</w:t>
      </w:r>
      <w:r>
        <w:rPr>
          <w:szCs w:val="20"/>
        </w:rPr>
        <w:t xml:space="preserve"> </w:t>
      </w:r>
      <w:r>
        <w:rPr>
          <w:szCs w:val="20"/>
          <w:lang w:val="en-US" w:bidi="en-US" w:eastAsia="en-US"/>
        </w:rPr>
        <w:t>Superseded</w:t>
      </w:r>
      <w:r>
        <w:rPr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18 SDR 62, effective October 9, 1991; 19 SDR 47, effective October 4, 1992; 20 SDR 149, effective March 22, 1994; 24 SDR 107, effective February 23, 1998; 26 SDR 89, effective January 6, 2000; 27 SDR 66, effective January 4, 2001; 28 SDR 105, effective February 3, 2002; 30 SDR 33, effective September 15, 2003; 32 SDR 129, effective January 31, 2006; 33 SDR 226, effective June 27, 2007; 42 SDR 146, effective May 2, 2016</w:t>
      </w:r>
      <w:r>
        <w:rPr>
          <w:szCs w:val="20"/>
          <w:lang w:val="en-US" w:bidi="en-US" w:eastAsia="en-US"/>
        </w:rPr>
        <w:t>; 48 SDR 40, effective October 5, 2021; 51 SDR 1, effective July 1, 2024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4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2016-04-25T19:19:00Z</dcterms:created>
  <cp:lastModifiedBy>Kelly Thompson</cp:lastModifiedBy>
  <dcterms:modified xsi:type="dcterms:W3CDTF">2024-06-27T20:09:22Z</dcterms:modified>
  <cp:revision>13</cp:revision>
</cp:coreProperties>
</file>