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10:03:01:01.  Definitions.</w:t>
      </w:r>
      <w:r>
        <w:t xml:space="preserve"> Terms defined in SDCL 1-27-9 have the same meaning in this article. In addition, terms used in this article are defined as follows:</w:t>
      </w: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"Nonrecord materials," the materials excluded from the definition of "record" in SDCL 1-27-9(2);</w:t>
      </w: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"Petition," a written request by an agency of state government or a unit of local government for action by the board;</w:t>
      </w: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"Board," the records destruction board;</w:t>
      </w: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"Statutory minimum retention," the time designated by statute within which specific records may not be destroyed;</w:t>
      </w: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(5)  "State contracts," written evidence of transactions of a contractual nature entered into by an agency of state or local government;</w:t>
      </w: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(6)  "Surety bond," a performance or fidelity bond required by statute and filed with an agency of state or local government to assure the performance of an act or actions;</w:t>
      </w: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(7)  "Records retention and destruction schedule," a schedule submitted by an agency head or public official which proposes the length of time records warrant retention and which has been approved for implementation by the commissioner of administration;</w:t>
      </w: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(8)  </w:t>
      </w:r>
      <w:r w:rsidRPr="00490DDD">
        <w:t>"</w:t>
      </w:r>
      <w:r>
        <w:t>Durable medium,</w:t>
      </w:r>
      <w:r w:rsidRPr="00490DDD">
        <w:t>"</w:t>
      </w:r>
      <w:r>
        <w:t xml:space="preserve"> a medium for maintaining a record where the properties of such medium provide reasonable assurances against tampering with the information contained in the original and degradation of any reproduction generated, and where the reproduction is an exact copy of the original;</w:t>
      </w: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(9)  </w:t>
      </w:r>
      <w:r w:rsidRPr="00490DDD">
        <w:t>"</w:t>
      </w:r>
      <w:r>
        <w:t>AIIM,</w:t>
      </w:r>
      <w:r w:rsidRPr="00490DDD">
        <w:t>"</w:t>
      </w:r>
      <w:r>
        <w:t xml:space="preserve"> Association for Information and Image Management;</w:t>
      </w: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(10)  </w:t>
      </w:r>
      <w:r w:rsidRPr="00490DDD">
        <w:t>"</w:t>
      </w:r>
      <w:r>
        <w:t>ANSI,</w:t>
      </w:r>
      <w:r w:rsidRPr="00490DDD">
        <w:t>"</w:t>
      </w:r>
      <w:r>
        <w:t xml:space="preserve"> American National Standards Institute;</w:t>
      </w: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(11)  </w:t>
      </w:r>
      <w:r w:rsidRPr="00490DDD">
        <w:t>"</w:t>
      </w:r>
      <w:r>
        <w:t>ISO,</w:t>
      </w:r>
      <w:r w:rsidRPr="00490DDD">
        <w:t>"</w:t>
      </w:r>
      <w:r>
        <w:t xml:space="preserve"> International Organization for Standardization.</w:t>
      </w: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8 SDR 120, effective March 21, 1982; 39 SDR 203, effective June 10, 2013.</w:t>
      </w: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1-27-11.1, 1-27-16.</w:t>
      </w: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1-27-11.</w:t>
      </w: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Cross-References:</w:t>
      </w: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Surety bond required -- Obligation of prompt payment of laborers and materialmen, SDCL 5-21-1.</w:t>
      </w: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Oath of office for civil officers -- Bond, SDCL 3-1-5.</w:t>
      </w: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Suretyship defined, SDCL 56-2-1.</w:t>
      </w: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Destruction of nonrecord materials, SDCL 1-27-15.</w:t>
      </w: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Records management procedures prepared by state agencies, SDCL 1-27-13.</w:t>
      </w:r>
    </w:p>
    <w:p w:rsidR="005E48D8" w:rsidRDefault="005E48D8" w:rsidP="000D2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5E48D8"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D257D"/>
    <w:rsid w:val="00086AE4"/>
    <w:rsid w:val="000D257D"/>
    <w:rsid w:val="00477B21"/>
    <w:rsid w:val="00490DDD"/>
    <w:rsid w:val="005E48D8"/>
    <w:rsid w:val="008B09BA"/>
    <w:rsid w:val="009B13CF"/>
    <w:rsid w:val="00BD2079"/>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2</Pages>
  <Words>313</Words>
  <Characters>1788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2013-06-05T18:25:00Z</dcterms:created>
  <dcterms:modified xsi:type="dcterms:W3CDTF">2013-06-05T18:25:00Z</dcterms:modified>
</cp:coreProperties>
</file>