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10:03:01:02.  Officers.</w:t>
      </w:r>
      <w:r>
        <w:t xml:space="preserve"> The officers of the board shall consist of a chairman and an executive secretary.</w:t>
      </w:r>
    </w:p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8 SDR 120, effective March 21, 1982; 39 SDR 203, effective June 10, 2013.</w:t>
      </w:r>
    </w:p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1-27-11.1, 1-27-16.</w:t>
      </w:r>
    </w:p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1-27-11.</w:t>
      </w:r>
    </w:p>
    <w:p w:rsidR="00BC382A" w:rsidRDefault="00BC382A" w:rsidP="008B34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C382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403"/>
    <w:rsid w:val="00086AE4"/>
    <w:rsid w:val="00477B21"/>
    <w:rsid w:val="008B09BA"/>
    <w:rsid w:val="008B3403"/>
    <w:rsid w:val="009B13CF"/>
    <w:rsid w:val="00BC382A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2013-06-05T18:26:00Z</dcterms:created>
  <dcterms:modified xsi:type="dcterms:W3CDTF">2013-06-05T18:26:00Z</dcterms:modified>
</cp:coreProperties>
</file>