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b/>
            <w:sz w:val="24"/>
          </w:rPr>
          <w:t>10:06:01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"State agency," as defined in SDCL 34A-6-61;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"Yard waste," as defined in SDCL 34A-6-61;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"Recycling," as defined in SDCL 34A-6-61;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"Solid waste," as defined in SDCL 34A-6-1.3; and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"Waste tire," as defined in SDCL 34A-6-61.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100, effective </w:t>
      </w:r>
      <w:smartTag w:uri="urn:schemas-microsoft-com:office:smarttags" w:element="date">
        <w:smartTagPr>
          <w:attr w:name="Year" w:val="1994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1994</w:t>
        </w:r>
      </w:smartTag>
      <w:r>
        <w:rPr>
          <w:rFonts w:ascii="Times New Roman" w:hAnsi="Times New Roman"/>
          <w:sz w:val="24"/>
        </w:rPr>
        <w:t>.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7C6E70" w:rsidRDefault="007C6E70" w:rsidP="00F839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6E70" w:rsidSect="007C6E7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7C6E70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3912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91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2004-05-27T22:33:00Z</dcterms:created>
  <dcterms:modified xsi:type="dcterms:W3CDTF">2004-05-27T22:34:00Z</dcterms:modified>
</cp:coreProperties>
</file>