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A83" w:rsidRDefault="00871A83" w:rsidP="00A71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:62.  Requirements of insurers.</w:t>
      </w:r>
      <w:r>
        <w:rPr>
          <w:rFonts w:ascii="Times New Roman" w:hAnsi="Times New Roman"/>
          <w:sz w:val="24"/>
        </w:rPr>
        <w:t xml:space="preserve"> Repealed.</w:t>
      </w:r>
    </w:p>
    <w:p w:rsidR="00871A83" w:rsidRDefault="00871A83" w:rsidP="00A71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1A83" w:rsidRDefault="00871A83" w:rsidP="00A71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58, effective October 29, 1990; repealed, 36 SDR 209, effective July 1, 2010.</w:t>
      </w:r>
    </w:p>
    <w:p w:rsidR="00871A83" w:rsidRDefault="00871A83" w:rsidP="00A711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1A83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11D3"/>
    <w:rsid w:val="00871A83"/>
    <w:rsid w:val="00993ACD"/>
    <w:rsid w:val="00A711D3"/>
    <w:rsid w:val="00B33674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1D3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2010-07-19T22:07:00Z</dcterms:created>
  <dcterms:modified xsi:type="dcterms:W3CDTF">2010-07-19T22:08:00Z</dcterms:modified>
</cp:coreProperties>
</file>