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1331" w:rsidRDefault="00B61331" w:rsidP="00514D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r>
      <w:smartTag w:uri="urn:schemas-microsoft-com:office:smarttags" w:element="time">
        <w:smartTagPr>
          <w:attr w:name="Minute" w:val="6"/>
          <w:attr w:name="Hour" w:val="20"/>
        </w:smartTagPr>
        <w:r>
          <w:rPr>
            <w:rFonts w:ascii="Times New Roman" w:hAnsi="Times New Roman"/>
            <w:b/>
            <w:sz w:val="24"/>
          </w:rPr>
          <w:t>20:06:39</w:t>
        </w:r>
      </w:smartTag>
      <w:r>
        <w:rPr>
          <w:rFonts w:ascii="Times New Roman" w:hAnsi="Times New Roman"/>
          <w:b/>
          <w:sz w:val="24"/>
        </w:rPr>
        <w:t>:19.  Guaranteed issue -- Effective date of coverage.</w:t>
      </w:r>
      <w:r>
        <w:rPr>
          <w:rFonts w:ascii="Times New Roman" w:hAnsi="Times New Roman"/>
          <w:sz w:val="24"/>
        </w:rPr>
        <w:t xml:space="preserve"> Upon receipt of an application for any major medical coverage subject to SDCL 58-17-66 to 58-17-87, inclusive, from an individual eligible under SDCL 58-17-85, whether or not the product applied for is on a guaranteed issue basis, the carrier must issue the policy with an effective date corresponding to the date of the application. If an eligible person makes the application prior to the actual date of termination of existing creditable coverage, the carrier may issue the coverage with an effective date coinciding with the termination date of the creditable coverage.</w:t>
      </w:r>
    </w:p>
    <w:p w:rsidR="00B61331" w:rsidRDefault="00B61331" w:rsidP="00514D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61331" w:rsidRDefault="00B61331" w:rsidP="00514D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Source:</w:t>
      </w:r>
      <w:r>
        <w:rPr>
          <w:rFonts w:ascii="Times New Roman" w:hAnsi="Times New Roman"/>
          <w:sz w:val="24"/>
        </w:rPr>
        <w:t xml:space="preserve"> 25 SDR 13, effective </w:t>
      </w:r>
      <w:smartTag w:uri="urn:schemas-microsoft-com:office:smarttags" w:element="date">
        <w:smartTagPr>
          <w:attr w:name="Year" w:val="1998"/>
          <w:attr w:name="Day" w:val="13"/>
          <w:attr w:name="Month" w:val="8"/>
        </w:smartTagPr>
        <w:r>
          <w:rPr>
            <w:rFonts w:ascii="Times New Roman" w:hAnsi="Times New Roman"/>
            <w:sz w:val="24"/>
          </w:rPr>
          <w:t>August 13, 1998</w:t>
        </w:r>
      </w:smartTag>
      <w:r>
        <w:rPr>
          <w:rFonts w:ascii="Times New Roman" w:hAnsi="Times New Roman"/>
          <w:sz w:val="24"/>
        </w:rPr>
        <w:t>.</w:t>
      </w:r>
    </w:p>
    <w:p w:rsidR="00B61331" w:rsidRDefault="00B61331" w:rsidP="00514D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General Authority:</w:t>
      </w:r>
      <w:r>
        <w:rPr>
          <w:rFonts w:ascii="Times New Roman" w:hAnsi="Times New Roman"/>
          <w:sz w:val="24"/>
        </w:rPr>
        <w:t xml:space="preserve"> SDCL 58-17-85, 58-17-87(14).</w:t>
      </w:r>
    </w:p>
    <w:p w:rsidR="00B61331" w:rsidRDefault="00B61331" w:rsidP="00514D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Law Implemented:</w:t>
      </w:r>
      <w:r>
        <w:rPr>
          <w:rFonts w:ascii="Times New Roman" w:hAnsi="Times New Roman"/>
          <w:sz w:val="24"/>
        </w:rPr>
        <w:t xml:space="preserve"> SDCL 58-17-85, 58-17-87(14).</w:t>
      </w:r>
    </w:p>
    <w:p w:rsidR="00B61331" w:rsidRDefault="00B61331" w:rsidP="00514D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p>
    <w:sectPr w:rsidR="00B61331" w:rsidSect="00B6133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14D8F"/>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973214"/>
    <w:rsid w:val="00A04525"/>
    <w:rsid w:val="00A50166"/>
    <w:rsid w:val="00A544F7"/>
    <w:rsid w:val="00A663CC"/>
    <w:rsid w:val="00A87BF6"/>
    <w:rsid w:val="00AA356A"/>
    <w:rsid w:val="00B610D9"/>
    <w:rsid w:val="00B61331"/>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4D8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2004-06-10T20:32:00Z</dcterms:created>
  <dcterms:modified xsi:type="dcterms:W3CDTF">2004-06-10T20:32:00Z</dcterms:modified>
</cp:coreProperties>
</file>