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948" w:rsidRDefault="00121948" w:rsidP="00216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20:06:39</w:t>
        </w:r>
      </w:smartTag>
      <w:r>
        <w:rPr>
          <w:rFonts w:ascii="Times New Roman" w:hAnsi="Times New Roman"/>
          <w:b/>
          <w:sz w:val="24"/>
        </w:rPr>
        <w:t>:20.  Guaranteed issue -- Tolling of 63-day time frame.</w:t>
      </w:r>
      <w:r>
        <w:rPr>
          <w:rFonts w:ascii="Times New Roman" w:hAnsi="Times New Roman"/>
          <w:sz w:val="24"/>
        </w:rPr>
        <w:t xml:space="preserve"> Any substantially completed application, whether an underwritten application or one specifically designed for guaranteed issue products, will toll the 63-day time frame for persons eligible pursuant to SDCL 58-17-85 not only for the carrier to which the application was submitted but also for any subsequent carriers from which the individual is seeking coverage.</w:t>
      </w:r>
    </w:p>
    <w:p w:rsidR="00121948" w:rsidRDefault="00121948" w:rsidP="00216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21948" w:rsidRDefault="00121948" w:rsidP="00216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Source:</w:t>
      </w:r>
      <w:r>
        <w:rPr>
          <w:rFonts w:ascii="Times New Roman" w:hAnsi="Times New Roman"/>
          <w:sz w:val="24"/>
        </w:rPr>
        <w:t xml:space="preserve"> 25 SDR 13, effective </w:t>
      </w:r>
      <w:smartTag w:uri="urn:schemas-microsoft-com:office:smarttags" w:element="date">
        <w:smartTagPr>
          <w:attr w:name="Month" w:val="8"/>
          <w:attr w:name="Day" w:val="13"/>
          <w:attr w:name="Year" w:val="1998"/>
        </w:smartTagPr>
        <w:r>
          <w:rPr>
            <w:rFonts w:ascii="Times New Roman" w:hAnsi="Times New Roman"/>
            <w:sz w:val="24"/>
          </w:rPr>
          <w:t>August 13, 1998</w:t>
        </w:r>
      </w:smartTag>
      <w:r>
        <w:rPr>
          <w:rFonts w:ascii="Times New Roman" w:hAnsi="Times New Roman"/>
          <w:sz w:val="24"/>
        </w:rPr>
        <w:t>.</w:t>
      </w:r>
    </w:p>
    <w:p w:rsidR="00121948" w:rsidRDefault="00121948" w:rsidP="00216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 xml:space="preserve">General Authority: </w:t>
      </w:r>
      <w:r>
        <w:rPr>
          <w:rFonts w:ascii="Times New Roman" w:hAnsi="Times New Roman"/>
          <w:sz w:val="24"/>
        </w:rPr>
        <w:t>SDCL 58-17-87(2)(14).</w:t>
      </w:r>
    </w:p>
    <w:p w:rsidR="00121948" w:rsidRDefault="00121948" w:rsidP="00216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Law Implemented:</w:t>
      </w:r>
      <w:r>
        <w:rPr>
          <w:rFonts w:ascii="Times New Roman" w:hAnsi="Times New Roman"/>
          <w:sz w:val="24"/>
        </w:rPr>
        <w:t xml:space="preserve"> SDCL 58-17-85, 58-17-87(2)(14).</w:t>
      </w:r>
    </w:p>
    <w:p w:rsidR="00121948" w:rsidRDefault="00121948" w:rsidP="00216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21948" w:rsidSect="0012194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21948"/>
    <w:rsid w:val="00152A29"/>
    <w:rsid w:val="00161917"/>
    <w:rsid w:val="00166DFE"/>
    <w:rsid w:val="00216B62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8F5373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B6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2004-06-10T20:33:00Z</dcterms:created>
  <dcterms:modified xsi:type="dcterms:W3CDTF">2004-07-18T15:24:00Z</dcterms:modified>
</cp:coreProperties>
</file>