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2B9B83F4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 w:val="1"/>
        </w:rPr>
        <w:t>5:05:01:05.  Claim of exemption by limited liability company.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lang w:val="en-US" w:bidi="en-US" w:eastAsia="en-US"/>
        </w:rPr>
        <w:t>Repealed</w:t>
      </w:r>
      <w:r>
        <w:rPr>
          <w:rFonts w:ascii="Times New Roman" w:hAnsi="Times New Roman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 w:val="1"/>
        </w:rPr>
        <w:t>Source:</w:t>
      </w:r>
      <w:r>
        <w:rPr>
          <w:rFonts w:ascii="Times New Roman" w:hAnsi="Times New Roman"/>
        </w:rPr>
        <w:t xml:space="preserve"> 26 SDR 81, effective December 5, 1999</w:t>
      </w:r>
      <w:r>
        <w:rPr>
          <w:rFonts w:ascii="Times New Roman" w:hAnsi="Times New Roman"/>
          <w:lang w:val="en-US" w:bidi="en-US" w:eastAsia="en-US"/>
        </w:rPr>
        <w:t>; 42 SDR 177, effective June 30, 2016</w:t>
      </w:r>
      <w:r>
        <w:rPr>
          <w:rFonts w:ascii="Times New Roman" w:hAnsi="Times New Roman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Bookman Old Style" w:hAnsi="Bookman Old Style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