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67D485F6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>5:05:01:12.  Annual disclosure report.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lang w:val="en-US" w:bidi="en-US" w:eastAsia="en-US"/>
        </w:rPr>
        <w:t>Repeal</w:t>
      </w:r>
      <w:r>
        <w:rPr>
          <w:rFonts w:ascii="Times New Roman" w:hAnsi="Times New Roman"/>
          <w:lang w:val="en-US" w:bidi="en-US" w:eastAsia="en-US"/>
        </w:rPr>
        <w:t>ed</w:t>
      </w:r>
      <w:r>
        <w:rPr>
          <w:rFonts w:ascii="Times New Roman" w:hAnsi="Times New Roman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>Source:</w:t>
      </w:r>
      <w:r>
        <w:rPr>
          <w:rFonts w:ascii="Times New Roman" w:hAnsi="Times New Roman"/>
        </w:rPr>
        <w:t xml:space="preserve"> 26 SDR 81, effective December 5, 1999</w:t>
      </w:r>
      <w:r>
        <w:rPr>
          <w:rFonts w:ascii="Times New Roman" w:hAnsi="Times New Roman"/>
          <w:lang w:val="en-US" w:bidi="en-US" w:eastAsia="en-US"/>
        </w:rPr>
        <w:t>; 42 SDR 177, effective June 30, 2016</w:t>
      </w:r>
      <w:r>
        <w:rPr>
          <w:rFonts w:ascii="Times New Roman" w:hAnsi="Times New Roman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</w:p>
    <w:sectPr>
      <w:type w:val="nextPage"/>
      <w:pgMar w:left="1267" w:right="1440" w:top="994" w:bottom="994" w:header="720" w:footer="720" w:gutter="0"/>
      <w:cols w:equalWidth="1" w:space="720"/>
      <w:titlePg w:val="1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Bookman Old Style" w:hAnsi="Bookman Old Style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