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6:01:04:02.  Incorporation or charter of issuer.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53, effective November 3, 1982</w:t>
      </w:r>
      <w:r>
        <w:rPr>
          <w:rFonts w:ascii="Times New Roman" w:hAnsi="Times New Roman"/>
          <w:sz w:val="24"/>
          <w:lang w:val="en-US" w:bidi="en-US" w:eastAsia="en-US"/>
        </w:rPr>
        <w:t>; 50 SDR 12, effe</w:t>
      </w:r>
      <w:r>
        <w:rPr>
          <w:rFonts w:ascii="Times New Roman" w:hAnsi="Times New Roman"/>
          <w:sz w:val="24"/>
          <w:lang w:val="en-US" w:bidi="en-US" w:eastAsia="en-US"/>
        </w:rPr>
        <w:t>ctive August 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2004-06-01T20:13:00Z</dcterms:created>
  <cp:lastModifiedBy>Kelly Thompson</cp:lastModifiedBy>
  <dcterms:modified xsi:type="dcterms:W3CDTF">2023-08-02T14:13:51Z</dcterms:modified>
  <cp:revision>3</cp:revision>
</cp:coreProperties>
</file>