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6:01:04:04.  Par value of mortgage collateral.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9 SDR 53, effective November 3, 1982</w:t>
      </w:r>
      <w:r>
        <w:rPr>
          <w:rFonts w:ascii="Times New Roman" w:hAnsi="Times New Roman"/>
          <w:sz w:val="24"/>
          <w:lang w:val="en-US" w:bidi="en-US" w:eastAsia="en-US"/>
        </w:rPr>
        <w:t>; 50 SDR 12, effective August 8, 2023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alignTablesRowByRow/>
    <w:splitPgBreakAndParaMark/>
    <w:growAutofi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lrpr13879</dc:creator>
  <dcterms:created xsi:type="dcterms:W3CDTF">2004-06-01T20:14:00Z</dcterms:created>
  <cp:lastModifiedBy>Kelly Thompson</cp:lastModifiedBy>
  <dcterms:modified xsi:type="dcterms:W3CDTF">2023-08-02T14:15:44Z</dcterms:modified>
  <cp:revision>3</cp:revision>
</cp:coreProperties>
</file>