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20:10:01:12.  Applications for new rates.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Repealed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12 SDR 85, effective November 24, 1985; 12 SDR 151, 12 SDR 155, effective July 1, 1986</w:t>
      </w:r>
      <w:r>
        <w:rPr>
          <w:rFonts w:ascii="Times New Roman" w:hAnsi="Times New Roman"/>
          <w:sz w:val="24"/>
          <w:lang w:val="en-US" w:bidi="en-US" w:eastAsia="en-US"/>
        </w:rPr>
        <w:t>; 50 SDR 125, effective May 6, 2024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alignTablesRowByRow/>
    <w:splitPgBreakAndParaMark/>
    <w:growAutofi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lrpr13879</dc:creator>
  <dcterms:created xsi:type="dcterms:W3CDTF">2004-06-17T17:02:00Z</dcterms:created>
  <cp:lastModifiedBy>Kelly Thompson</cp:lastModifiedBy>
  <dcterms:modified xsi:type="dcterms:W3CDTF">2024-04-25T21:38:38Z</dcterms:modified>
  <cp:revision>4</cp:revision>
</cp:coreProperties>
</file>