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20:10:26:04.  Individual metering -- When not required.</w:t>
      </w:r>
      <w:r>
        <w:rPr>
          <w:rFonts w:ascii="Times New Roman" w:hAnsi="Times New Roman"/>
          <w:sz w:val="24"/>
        </w:rPr>
        <w:t xml:space="preserve"> Individual meters are not required and no variance need be requested</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For residential multiple-occupancy buildings consisting of only two units, of which one unit is occupied by the owner of the building;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For hospitals, nursing homes, transient hotels and motels, dormitories, campgrounds, and other residential facilities of a strictly transient nature;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For existing multiple-occupancy buildings </w:t>
      </w:r>
      <w:r>
        <w:rPr>
          <w:rFonts w:ascii="Times New Roman" w:hAnsi="Times New Roman"/>
          <w:sz w:val="24"/>
          <w:lang w:val="en-US" w:bidi="en-US" w:eastAsia="en-US"/>
        </w:rPr>
        <w:t>that</w:t>
      </w:r>
      <w:r>
        <w:rPr>
          <w:rFonts w:ascii="Times New Roman" w:hAnsi="Times New Roman"/>
          <w:sz w:val="24"/>
        </w:rPr>
        <w:t xml:space="preserve"> currently receive either master metered gas service or electric service,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For existing mobile home courts and trailer parks;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(5)  For multiple-occupancy residential buildings where gas service is used only for either gas ranges or gas dryers, or both; </w:t>
      </w:r>
      <w:r>
        <w:rPr>
          <w:rFonts w:ascii="Times New Roman" w:hAnsi="Times New Roman"/>
          <w:sz w:val="24"/>
          <w:lang w:val="en-US" w:bidi="en-US" w:eastAsia="en-US"/>
        </w:rPr>
        <w: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(6)  For multiple-occupancy buildings </w:t>
      </w:r>
      <w:r>
        <w:rPr>
          <w:rFonts w:ascii="Times New Roman" w:hAnsi="Times New Roman"/>
          <w:sz w:val="24"/>
          <w:lang w:val="en-US" w:bidi="en-US" w:eastAsia="en-US"/>
        </w:rPr>
        <w:t>that</w:t>
      </w:r>
      <w:r>
        <w:rPr>
          <w:rFonts w:ascii="Times New Roman" w:hAnsi="Times New Roman"/>
          <w:sz w:val="24"/>
        </w:rPr>
        <w:t xml:space="preserve"> have central heating or cooling systems, central ventilating systems, or central water heating systems. However, the applicant shall notify the commission so it may determine whether the applicant's system falls within this exception or whether the applicant is required to file an application for a variance.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color w:val="000000" w:themeColor="text1"/>
          <w:sz w:val="24"/>
        </w:rPr>
        <w:t>If a building falls within one of the subdivisions listed in §</w:t>
      </w:r>
      <w:r>
        <w:rPr>
          <w:rFonts w:ascii="Times New Roman" w:hAnsi="Times New Roman"/>
          <w:color w:val="000000" w:themeColor="text1"/>
          <w:sz w:val="24"/>
          <w:lang w:val="en-US" w:bidi="en-US" w:eastAsia="en-US"/>
        </w:rPr>
        <w:t> </w:t>
      </w:r>
      <w:r>
        <w:rPr>
          <w:rFonts w:ascii="Times New Roman" w:hAnsi="Times New Roman"/>
          <w:color w:val="000000" w:themeColor="text1"/>
          <w:sz w:val="24"/>
        </w:rPr>
        <w:t>20:10:26:03 and does not fall within one of the exceptions listed in this rule, the applicant may file an application for a variance with the commission consistent with this chapter</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26, effective August 7, 1991</w:t>
      </w:r>
      <w:r>
        <w:rPr>
          <w:rFonts w:ascii="Times New Roman" w:hAnsi="Times New Roman"/>
          <w:sz w:val="24"/>
          <w:lang w:val="en-US" w:bidi="en-US" w:eastAsia="en-US"/>
        </w:rPr>
        <w:t>; 50 SDR 125, effective May 6, 2024</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rPr>
        <w:t>49-34A-4, 49-34A-27.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49-34A-4, 49-34A-27.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Collateral References:</w:t>
      </w:r>
      <w:r>
        <w:rPr>
          <w:rFonts w:ascii="Times New Roman" w:hAnsi="Times New Roman"/>
          <w:sz w:val="24"/>
        </w:rPr>
        <w:t xml:space="preserve"> </w:t>
      </w:r>
      <w:r>
        <w:rPr>
          <w:rFonts w:ascii="Times New Roman" w:hAnsi="Times New Roman"/>
          <w:b w:val="1"/>
          <w:sz w:val="24"/>
        </w:rPr>
        <w:t>In the Matter of the Investigation of Master Metering</w:t>
      </w:r>
      <w:r>
        <w:rPr>
          <w:rFonts w:ascii="Times New Roman" w:hAnsi="Times New Roman"/>
          <w:sz w:val="24"/>
        </w:rPr>
        <w:t xml:space="preserve">, Docket F-3237, Decision and Order dated June 13, 1980 (Errata Notice dated December 22, 1980); </w:t>
      </w:r>
      <w:r>
        <w:rPr>
          <w:rFonts w:ascii="Times New Roman" w:hAnsi="Times New Roman"/>
          <w:b w:val="1"/>
          <w:sz w:val="24"/>
        </w:rPr>
        <w:t>In the Matter of the Investigation of Master Metering</w:t>
      </w:r>
      <w:r>
        <w:rPr>
          <w:rFonts w:ascii="Times New Roman" w:hAnsi="Times New Roman"/>
          <w:sz w:val="24"/>
        </w:rPr>
        <w:t xml:space="preserve"> , Docket F-3237, Decision and Order dated July 24, 1981; </w:t>
      </w:r>
      <w:r>
        <w:rPr>
          <w:rFonts w:ascii="Times New Roman" w:hAnsi="Times New Roman"/>
          <w:b w:val="1"/>
          <w:sz w:val="24"/>
        </w:rPr>
        <w:t>In the Matter of the Petition For Declaratory Ruling by S&amp;D Metering, Ltd.</w:t>
      </w:r>
      <w:r>
        <w:rPr>
          <w:rFonts w:ascii="Times New Roman" w:hAnsi="Times New Roman"/>
          <w:sz w:val="24"/>
        </w:rPr>
        <w:t>, F-3621, Declaratory Ruling and F-3237, Modifying in Part, Decision and Order dated October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2004-06-21T17:40:00Z</dcterms:created>
  <cp:lastModifiedBy>Kelly Thompson</cp:lastModifiedBy>
  <dcterms:modified xsi:type="dcterms:W3CDTF">2024-04-25T21:54:11Z</dcterms:modified>
  <cp:revision>6</cp:revision>
</cp:coreProperties>
</file>