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w:t>
      </w:r>
      <w:r>
        <w:rPr>
          <w:rFonts w:ascii="Bookman Old Style" w:hAnsi="Bookman Old Style"/>
        </w:rPr>
        <w:t xml:space="preserve"> 1</w:t>
      </w:r>
      <w:r>
        <w:rPr>
          <w:rFonts w:ascii="Bookman Old Style" w:hAnsi="Bookman Old Style"/>
          <w:lang w:val="en-US" w:bidi="en-US" w:eastAsia="en-US"/>
        </w:rPr>
        <w:t>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12:01:01</w:t>
        <w:tab/>
        <w:tab/>
        <w:tab/>
        <w:t>Requesting action of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REQUESTING ACTION OF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12:01:01:01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12:01:01:02</w:t>
        <w:tab/>
        <w:tab/>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12:01:01:03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12:01:01:04</w:t>
        <w:tab/>
        <w:tab/>
        <w:t>Obtaining a declaratory ruling.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12:01:01:05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12:01:01:06</w:t>
        <w:tab/>
        <w:tab/>
        <w:t>Request for decision from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12:01:01:07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12:01:01:01.  Definitions.</w:t>
      </w:r>
      <w:r>
        <w:t xml:space="preserve"> Terms defined in SDCL 1-26 shall have the same meanings as in these rules.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"Agency," the department of agriculture</w:t>
      </w:r>
      <w:r>
        <w:rPr>
          <w:lang w:bidi="en-US"/>
        </w:rPr>
        <w:t xml:space="preserve"> and natural resources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"Petitioner," the person filing;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"Respondent," the person filed against;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"Secretary," the secretary of the South Dakota department of agriculture</w:t>
      </w:r>
      <w:r>
        <w:rPr>
          <w:lang w:bidi="en-US"/>
        </w:rPr>
        <w:t xml:space="preserve"> and natural resources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r>
        <w:rPr>
          <w:rFonts w:ascii="Times New Roman" w:hAnsi="Times New Roman"/>
          <w:sz w:val="24"/>
          <w:lang w:val="en-US" w:bidi="en-US" w:eastAsia="en-US"/>
        </w:rPr>
        <w:t>; SL 2021, ch 1, §§ 8, 19</w:t>
      </w:r>
      <w:r>
        <w:rPr>
          <w:rFonts w:ascii="Times New Roman" w:hAnsi="Times New Roman"/>
          <w:sz w:val="24"/>
          <w:lang w:val="en-US" w:bidi="en-US" w:eastAsia="en-US"/>
        </w:rPr>
        <w:t>,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38-1-16, 38-22-7, 38-22-9.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12:01:01:02.  Promulgation, amendment, or repeal of a rule.</w:t>
      </w:r>
      <w:r>
        <w:t xml:space="preserve">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12:01:01:03.  Number of copies.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12:01:01:04.  Obtaining a declaratory ruling.</w:t>
      </w:r>
      <w:r>
        <w:t xml:space="preserve"> Any person may request the agency to issue a decision on the applicability of any statutory provision, rule or order pertaining to a submitted factual situation by submitting a petition containing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authority by which the petition is presented;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of the person, agency or groups submitting the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requested action and reasons for the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signature of the person, or the authorization of the group or agency making the petition;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notarization of the signature or authorization.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12:01:01:05.  Number of copies.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12:01:01:06.  Request for decision from agency.</w:t>
      </w:r>
      <w:r>
        <w:t xml:space="preserve"> Any person having a contested case before the agency may request a final order terminating administrative action and declaring the rights and liabilities of the parties by delivering a request to the secretary in person or by certified mail. The secretary shall either issue the order or issue an explanation of what procedures shall be followed prior to his issuing the order within 30 days after receipt of the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12:01:01:07.  Requests for changes forwarded to board members.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April</w:t>
    </w:r>
    <w:r>
      <w:t xml:space="preserve"> 1</w:t>
    </w:r>
    <w:r>
      <w:rPr>
        <w:lang w:val="en-US" w:bidi="en-US" w:eastAsia="en-US"/>
      </w:rPr>
      <w:t>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ADMINISTRATION</w:t>
      <w:tab/>
      <w:tab/>
      <w:t>12:01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2021-03-17T15:45:00Z</dcterms:created>
  <cp:lastModifiedBy>Rhonda Purkapile</cp:lastModifiedBy>
  <dcterms:modified xsi:type="dcterms:W3CDTF">2021-03-17T16:01:37Z</dcterms:modified>
  <cp:revision>4</cp:revision>
</cp:coreProperties>
</file>