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20:10:32</w:t>
        </w:r>
      </w:smartTag>
      <w:r>
        <w:rPr>
          <w:b/>
          <w:sz w:val="24"/>
        </w:rPr>
        <w:t>:45.  Determining the applicable service area</w:t>
      </w:r>
      <w:r>
        <w:rPr>
          <w:sz w:val="24"/>
        </w:rPr>
        <w:t>. The commission decision on a request for designation as an eligible telecommunications carrier must include a determination of the applicable service area. In the case of a service area served by a rural telephone company, "service area" means the company’s "study area" unless and until the commission and the Federal Communications Commission establish a different definition of service area for the company. If the commission proposes to define the service area served by a rural telephone company to be other than the company’s study area, the commission shall, consistent with 47 C.F.R. § 54.207 (January 1, 2006), petition the Federal Communications Commission for its approval prior to making any such change.</w:t>
      </w:r>
    </w:p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 xml:space="preserve">;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General Authority: </w:t>
      </w:r>
      <w:r>
        <w:rPr>
          <w:sz w:val="24"/>
        </w:rPr>
        <w:t>SDCL 49-31-76.</w:t>
      </w:r>
    </w:p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</w:t>
      </w:r>
      <w:r>
        <w:rPr>
          <w:b/>
          <w:sz w:val="24"/>
        </w:rPr>
        <w:t xml:space="preserve"> </w:t>
      </w:r>
      <w:r>
        <w:rPr>
          <w:sz w:val="24"/>
        </w:rPr>
        <w:t>49-31-3,</w:t>
      </w:r>
      <w:r>
        <w:rPr>
          <w:b/>
          <w:sz w:val="24"/>
        </w:rPr>
        <w:t xml:space="preserve"> </w:t>
      </w:r>
      <w:r>
        <w:rPr>
          <w:sz w:val="24"/>
        </w:rPr>
        <w:t>49-31-76, 49-31-78.</w:t>
      </w:r>
    </w:p>
    <w:p w:rsidR="004C0C04" w:rsidRDefault="004C0C04" w:rsidP="002E4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</w:p>
    <w:sectPr w:rsidR="004C0C04" w:rsidSect="004C0C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27A0F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4B37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0C04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3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141</Words>
  <Characters>807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2006-07-07T20:15:00Z</dcterms:created>
  <dcterms:modified xsi:type="dcterms:W3CDTF">2006-07-07T20:16:00Z</dcterms:modified>
</cp:coreProperties>
</file>