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20:44:14:01.  General definitions.</w:t>
      </w:r>
      <w:r>
        <w:t xml:space="preserve"> Terms defined in SDCL 36-16-2 have the same meaning </w:t>
      </w:r>
      <w:r>
        <w:rPr>
          <w:lang w:val="en-US" w:bidi="en-US" w:eastAsia="en-US"/>
        </w:rPr>
        <w:t xml:space="preserve">as </w:t>
      </w:r>
      <w:r>
        <w:t xml:space="preserve">in this article. </w:t>
      </w:r>
      <w:r>
        <w:rPr>
          <w:lang w:val="en-US" w:bidi="en-US" w:eastAsia="en-US"/>
        </w:rPr>
        <w:t>Terms</w:t>
      </w:r>
      <w:r>
        <w:t xml:space="preserve"> used in this article</w:t>
      </w:r>
      <w:r>
        <w:rPr>
          <w:lang w:val="en-US" w:bidi="en-US" w:eastAsia="en-US"/>
        </w:rPr>
        <w:t xml:space="preserve"> mean</w:t>
      </w:r>
      <w: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"Commission</w:t>
      </w:r>
      <w:r>
        <w:rPr>
          <w:lang w:val="en-US" w:bidi="en-US" w:eastAsia="en-US"/>
        </w:rPr>
        <w:t>,</w:t>
      </w:r>
      <w:r>
        <w:t>"</w:t>
      </w:r>
      <w:r>
        <w:t xml:space="preserve"> the State Electrical Commission;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2</w:t>
      </w:r>
      <w:r>
        <w:t>)  "Correction order</w:t>
      </w:r>
      <w:r>
        <w:rPr>
          <w:lang w:val="en-US" w:bidi="en-US" w:eastAsia="en-US"/>
        </w:rPr>
        <w:t>,</w:t>
      </w:r>
      <w:r>
        <w:t>"</w:t>
      </w:r>
      <w:r>
        <w:rPr>
          <w:lang w:val="en-US" w:bidi="en-US" w:eastAsia="en-US"/>
        </w:rPr>
        <w:t xml:space="preserve"> </w:t>
      </w:r>
      <w:r>
        <w:t>a notice written by an inspector to the person responsible for the electrical installation, listing the violations of this article and stating the time allowed for correction;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3</w:t>
      </w:r>
      <w:r>
        <w:t>)  "Electrical lineman</w:t>
      </w:r>
      <w:r>
        <w:rPr>
          <w:lang w:val="en-US" w:bidi="en-US" w:eastAsia="en-US"/>
        </w:rPr>
        <w:t>,</w:t>
      </w:r>
      <w:r>
        <w:t>"</w:t>
      </w:r>
      <w:r>
        <w:rPr>
          <w:lang w:val="en-US" w:bidi="en-US" w:eastAsia="en-US"/>
        </w:rPr>
        <w:t xml:space="preserve"> </w:t>
      </w:r>
      <w:r>
        <w:t>a person with a minimum of four years of experience with electrical power distribution systems;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4</w:t>
      </w:r>
      <w:r>
        <w:t>)  "Electrical school</w:t>
      </w:r>
      <w:r>
        <w:rPr>
          <w:lang w:val="en-US" w:bidi="en-US" w:eastAsia="en-US"/>
        </w:rPr>
        <w:t>,</w:t>
      </w:r>
      <w:r>
        <w:t>" as referred to in SDCL 36-16-2</w:t>
      </w:r>
      <w:r>
        <w:t>,</w:t>
      </w:r>
      <w:r>
        <w:rPr>
          <w:lang w:val="en-US" w:bidi="en-US" w:eastAsia="en-US"/>
        </w:rPr>
        <w:t xml:space="preserve"> </w:t>
      </w:r>
      <w:r>
        <w:t xml:space="preserve">a four-year educational institution </w:t>
      </w:r>
      <w:r>
        <w:rPr>
          <w:lang w:val="en-US" w:bidi="en-US" w:eastAsia="en-US"/>
        </w:rPr>
        <w:t>that</w:t>
      </w:r>
      <w:r>
        <w:t xml:space="preserve"> grants a</w:t>
      </w:r>
      <w:r>
        <w:rPr>
          <w:lang w:val="en-US" w:bidi="en-US" w:eastAsia="en-US"/>
        </w:rPr>
        <w:t xml:space="preserve"> Bachelor of Science de</w:t>
      </w:r>
      <w:r>
        <w:rPr>
          <w:lang w:val="en-US" w:bidi="en-US" w:eastAsia="en-US"/>
        </w:rPr>
        <w:t>gree in</w:t>
      </w:r>
      <w:r>
        <w:t xml:space="preserve"> electrical engineering</w:t>
      </w:r>
      <w:r>
        <w:t xml:space="preserve"> and </w:t>
      </w:r>
      <w:r>
        <w:t>is accredited by a nationally recognized accreditation agency;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5</w:t>
      </w:r>
      <w:r>
        <w:t>)  "Electrical wiring apprenticeship program</w:t>
      </w:r>
      <w:r>
        <w:rPr>
          <w:lang w:val="en-US" w:bidi="en-US" w:eastAsia="en-US"/>
        </w:rPr>
        <w:t>,</w:t>
      </w:r>
      <w:r>
        <w:t>"</w:t>
      </w:r>
      <w:r>
        <w:rPr>
          <w:lang w:val="en-US" w:bidi="en-US" w:eastAsia="en-US"/>
        </w:rPr>
        <w:t xml:space="preserve"> </w:t>
      </w:r>
      <w:r>
        <w:t xml:space="preserve">a classroom program supplemented by a minimum of </w:t>
      </w:r>
      <w:r>
        <w:rPr>
          <w:lang w:val="en-US" w:bidi="en-US" w:eastAsia="en-US"/>
        </w:rPr>
        <w:t>one hundred forty-four</w:t>
      </w:r>
      <w:r>
        <w:t xml:space="preserve"> hours </w:t>
      </w:r>
      <w:r>
        <w:rPr>
          <w:lang w:val="en-US" w:bidi="en-US" w:eastAsia="en-US"/>
        </w:rPr>
        <w:t>per</w:t>
      </w:r>
      <w:r>
        <w:t xml:space="preserve"> year of electrical wiring instruction in conjunction with the normal </w:t>
      </w:r>
      <w:r>
        <w:rPr>
          <w:lang w:val="en-US" w:bidi="en-US" w:eastAsia="en-US"/>
        </w:rPr>
        <w:t xml:space="preserve">two </w:t>
      </w:r>
      <w:r>
        <w:rPr>
          <w:lang w:val="en-US" w:bidi="en-US" w:eastAsia="en-US"/>
        </w:rPr>
        <w:t>thousand</w:t>
      </w:r>
      <w:r>
        <w:t xml:space="preserve"> hours </w:t>
      </w:r>
      <w:r>
        <w:rPr>
          <w:lang w:val="en-US" w:bidi="en-US" w:eastAsia="en-US"/>
        </w:rPr>
        <w:t>per</w:t>
      </w:r>
      <w:r>
        <w:t xml:space="preserve"> year of actual electrical wiring on-the-job work experience of an apprentice electrician;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tab/>
      </w:r>
      <w:r>
        <w:rPr>
          <w:lang w:val="en-US" w:bidi="en-US" w:eastAsia="en-US"/>
        </w:rPr>
        <w:t>(</w:t>
      </w:r>
      <w:r>
        <w:rPr>
          <w:lang w:val="en-US" w:bidi="en-US" w:eastAsia="en-US"/>
        </w:rPr>
        <w:t>6</w:t>
      </w:r>
      <w:r>
        <w:rPr>
          <w:lang w:val="en-US" w:bidi="en-US" w:eastAsia="en-US"/>
        </w:rPr>
        <w:t>)  "Final subject</w:t>
      </w:r>
      <w:r>
        <w:rPr>
          <w:lang w:val="en-US" w:bidi="en-US" w:eastAsia="en-US"/>
        </w:rPr>
        <w:t>,</w:t>
      </w:r>
      <w:r>
        <w:rPr>
          <w:lang w:val="en-US" w:bidi="en-US" w:eastAsia="en-US"/>
        </w:rPr>
        <w:t>"</w:t>
      </w:r>
      <w:r>
        <w:rPr>
          <w:lang w:val="en-US" w:bidi="en-US" w:eastAsia="en-US"/>
        </w:rPr>
        <w:t xml:space="preserve"> the act of closing out a non-compliant residential installation after all inspections have been performed and the residence owner of the installation acknowledges acceptance of the report of non-compliance;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ab/>
        <w:t>(</w:t>
      </w:r>
      <w:r>
        <w:rPr>
          <w:lang w:val="en-US" w:bidi="en-US" w:eastAsia="en-US"/>
        </w:rPr>
        <w:t>7</w:t>
      </w:r>
      <w:r>
        <w:rPr>
          <w:lang w:val="en-US" w:bidi="en-US" w:eastAsia="en-US"/>
        </w:rPr>
        <w:t>)  </w:t>
      </w:r>
      <w:r>
        <w:t>"Final void</w:t>
      </w:r>
      <w:r>
        <w:rPr>
          <w:lang w:val="en-US" w:bidi="en-US" w:eastAsia="en-US"/>
        </w:rPr>
        <w:t>,</w:t>
      </w:r>
      <w:r>
        <w:t>"</w:t>
      </w:r>
      <w:r>
        <w:rPr>
          <w:lang w:val="en-US" w:bidi="en-US" w:eastAsia="en-US"/>
        </w:rPr>
        <w:t xml:space="preserve"> </w:t>
      </w:r>
      <w:r>
        <w:t>the act of closing out a non-compliant installation prior to the full</w:t>
      </w:r>
      <w:r>
        <w:rPr>
          <w:lang w:val="en-US" w:bidi="en-US" w:eastAsia="en-US"/>
        </w:rPr>
        <w:t xml:space="preserve"> </w:t>
      </w:r>
      <w:r>
        <w:t>inspection being completed;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8</w:t>
      </w:r>
      <w:r>
        <w:t>)  "License</w:t>
      </w:r>
      <w:r>
        <w:rPr>
          <w:lang w:val="en-US" w:bidi="en-US" w:eastAsia="en-US"/>
        </w:rPr>
        <w:t>,</w:t>
      </w:r>
      <w:r>
        <w:t>"</w:t>
      </w:r>
      <w:r>
        <w:t xml:space="preserve"> a </w:t>
      </w:r>
      <w:r>
        <w:rPr>
          <w:lang w:val="en-US" w:bidi="en-US" w:eastAsia="en-US"/>
        </w:rPr>
        <w:t>credential</w:t>
      </w:r>
      <w:r>
        <w:t xml:space="preserve"> issued to a person who qualifies under one of the classes defined in SDCL 36-16-2 or is granted reciprocity from another state;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</w:t>
      </w:r>
      <w:r>
        <w:rPr>
          <w:lang w:val="en-US" w:bidi="en-US" w:eastAsia="en-US"/>
        </w:rPr>
        <w:t>9</w:t>
      </w:r>
      <w:r>
        <w:t>)  "Local inspection system</w:t>
      </w:r>
      <w:r>
        <w:rPr>
          <w:lang w:val="en-US" w:bidi="en-US" w:eastAsia="en-US"/>
        </w:rPr>
        <w:t>,</w:t>
      </w:r>
      <w:r>
        <w:t>"</w:t>
      </w:r>
      <w:r>
        <w:rPr>
          <w:lang w:val="en-US" w:bidi="en-US" w:eastAsia="en-US"/>
        </w:rPr>
        <w:t xml:space="preserve"> </w:t>
      </w:r>
      <w:r>
        <w:t>a municipal government or power supplier that has complied with commission requirements and which provides local electrical inspections under the rules and direction of the commission and SDCL chapter 36-16;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tab/>
        <w:t>(1</w:t>
      </w:r>
      <w:r>
        <w:rPr>
          <w:lang w:val="en-US" w:bidi="en-US" w:eastAsia="en-US"/>
        </w:rPr>
        <w:t>0</w:t>
      </w:r>
      <w:r>
        <w:t>)  "Modular home" or "modular structure</w:t>
      </w:r>
      <w:r>
        <w:rPr>
          <w:lang w:val="en-US" w:bidi="en-US" w:eastAsia="en-US"/>
        </w:rPr>
        <w:t>,</w:t>
      </w:r>
      <w:r>
        <w:t>"</w:t>
      </w:r>
      <w:r>
        <w:rPr>
          <w:lang w:val="en-US" w:bidi="en-US" w:eastAsia="en-US"/>
        </w:rPr>
        <w:t xml:space="preserve"> </w:t>
      </w:r>
      <w:r>
        <w:t xml:space="preserve">a home or other structure </w:t>
      </w:r>
      <w:r>
        <w:rPr>
          <w:lang w:val="en-US" w:bidi="en-US" w:eastAsia="en-US"/>
        </w:rPr>
        <w:t>that: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ab/>
        <w:tab/>
      </w:r>
      <w:r>
        <w:rPr>
          <w:lang w:val="en-US" w:bidi="en-US" w:eastAsia="en-US"/>
        </w:rPr>
        <w:t xml:space="preserve">(a)  Is </w:t>
      </w:r>
      <w:r>
        <w:t>built on a factory assembly line or other construction site to International Building Code</w:t>
      </w:r>
      <w:r>
        <w:rPr>
          <w:lang w:val="en-US" w:bidi="en-US" w:eastAsia="en-US"/>
        </w:rPr>
        <w:t>, 2021 Edition,</w:t>
      </w:r>
      <w:r>
        <w:t xml:space="preserve"> specifications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rPr>
          <w:lang w:val="en-US" w:bidi="en-US" w:eastAsia="en-US"/>
        </w:rPr>
        <w:tab/>
        <w:tab/>
        <w:t>(b)  </w:t>
      </w:r>
      <w:r>
        <w:rPr>
          <w:lang w:val="en-US" w:bidi="en-US" w:eastAsia="en-US"/>
        </w:rPr>
        <w:t>Is</w:t>
      </w:r>
      <w:r>
        <w:t xml:space="preserve"> transported to its destination in sections or as a complete assembly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ab/>
        <w:tab/>
        <w:t>(c)  </w:t>
      </w:r>
      <w:r>
        <w:rPr>
          <w:lang w:val="en-US" w:bidi="en-US" w:eastAsia="en-US"/>
        </w:rPr>
        <w:t>H</w:t>
      </w:r>
      <w:r>
        <w:t>as no permanent steel chassis attached</w:t>
      </w:r>
      <w:r>
        <w:rPr>
          <w:lang w:val="en-US" w:bidi="en-US" w:eastAsia="en-US"/>
        </w:rPr>
        <w:t>;</w:t>
      </w:r>
      <w: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ab/>
        <w:tab/>
        <w:t>(d)  </w:t>
      </w:r>
      <w:r>
        <w:rPr>
          <w:lang w:val="en-US" w:bidi="en-US" w:eastAsia="en-US"/>
        </w:rPr>
        <w:t>Is</w:t>
      </w:r>
      <w:r>
        <w:t xml:space="preserve"> not a manufactured home as defined in SDCL 32-7A-1 or a recreational vehicle;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</w:t>
      </w:r>
      <w:r>
        <w:rPr>
          <w:lang w:val="en-US" w:bidi="en-US" w:eastAsia="en-US"/>
        </w:rPr>
        <w:t>1</w:t>
      </w:r>
      <w:r>
        <w:t>)  "</w:t>
      </w:r>
      <w:r>
        <w:rPr>
          <w:b w:val="1"/>
        </w:rPr>
        <w:t>National Electrical Code</w:t>
      </w:r>
      <w:r>
        <w:rPr>
          <w:b w:val="1"/>
          <w:lang w:val="en-US" w:bidi="en-US" w:eastAsia="en-US"/>
        </w:rPr>
        <w:t>,</w:t>
      </w:r>
      <w:r>
        <w:t>"</w:t>
      </w:r>
      <w:r>
        <w:rPr>
          <w:lang w:val="en-US" w:bidi="en-US" w:eastAsia="en-US"/>
        </w:rPr>
        <w:t xml:space="preserve"> </w:t>
      </w:r>
      <w:r>
        <w:t xml:space="preserve">the </w:t>
      </w:r>
      <w:r>
        <w:rPr>
          <w:lang w:val="en-US" w:bidi="en-US" w:eastAsia="en-US"/>
        </w:rPr>
        <w:t>code</w:t>
      </w:r>
      <w:r>
        <w:t xml:space="preserve"> published by the National Fire Protection Association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(</w:t>
      </w:r>
      <w:r>
        <w:rPr>
          <w:lang w:val="en-US" w:bidi="en-US" w:eastAsia="en-US"/>
        </w:rPr>
        <w:t xml:space="preserve">2023 </w:t>
      </w:r>
      <w:r>
        <w:rPr>
          <w:lang w:val="en-US" w:bidi="en-US" w:eastAsia="en-US"/>
        </w:rPr>
        <w:t>edition, in</w:t>
      </w:r>
      <w:r>
        <w:rPr>
          <w:lang w:val="en-US" w:bidi="en-US" w:eastAsia="en-US"/>
        </w:rPr>
        <w:t>cluding tentative interim amendments 23-1 through 23-15)</w:t>
      </w:r>
      <w:r>
        <w:t xml:space="preserve"> with the following exceptions: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tab/>
        <w:tab/>
        <w:t>(a)  </w:t>
      </w:r>
      <w:r>
        <w:rPr>
          <w:lang w:val="en-US" w:bidi="en-US" w:eastAsia="en-US"/>
        </w:rPr>
        <w:t>Section</w:t>
      </w:r>
      <w:r>
        <w:rPr>
          <w:lang w:val="en-US" w:bidi="en-US" w:eastAsia="en-US"/>
        </w:rPr>
        <w:t xml:space="preserve"> 210.8(F)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ab/>
        <w:tab/>
        <w:t>(b)  </w:t>
      </w:r>
      <w:r>
        <w:t xml:space="preserve">Article 100 – definitions - remove the </w:t>
      </w:r>
      <w:r>
        <w:rPr>
          <w:lang w:val="en-US" w:bidi="en-US" w:eastAsia="en-US"/>
        </w:rPr>
        <w:t>term</w:t>
      </w:r>
      <w:r>
        <w:t xml:space="preserve"> "machinery" from the definition of "equipment";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tab/>
        <w:tab/>
      </w:r>
      <w:r>
        <w:rPr>
          <w:lang w:val="en-US" w:bidi="en-US" w:eastAsia="en-US"/>
        </w:rPr>
        <w:t>(c)  </w:t>
      </w:r>
      <w:r>
        <w:rPr>
          <w:lang w:val="en-US" w:bidi="en-US" w:eastAsia="en-US"/>
        </w:rPr>
        <w:t>Proper</w:t>
      </w:r>
      <w:r>
        <w:rPr>
          <w:lang w:val="en-US" w:bidi="en-US" w:eastAsia="en-US"/>
        </w:rPr>
        <w:t>ly lab</w:t>
      </w:r>
      <w:r>
        <w:rPr>
          <w:lang w:val="en-US" w:bidi="en-US" w:eastAsia="en-US"/>
        </w:rPr>
        <w:t>eled recreational vehicle (RV)</w:t>
      </w:r>
      <w:r>
        <w:rPr>
          <w:lang w:val="en-US" w:bidi="en-US" w:eastAsia="en-US"/>
        </w:rPr>
        <w:t xml:space="preserve"> </w:t>
      </w:r>
      <w:r>
        <w:rPr>
          <w:color w:val="000000" w:themeColor="text1"/>
        </w:rPr>
        <w:t>receptacles other than 125-volt, single-phase, fifteen- and twenty- ampere receptacles are exempt from ground-fault circuit interrupter (GFCI) requirements in section 210.8(A);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ab/>
        <w:tab/>
      </w:r>
      <w:r>
        <w:t>(</w:t>
      </w:r>
      <w:r>
        <w:rPr>
          <w:lang w:val="en-US" w:bidi="en-US" w:eastAsia="en-US"/>
        </w:rPr>
        <w:t>d</w:t>
      </w:r>
      <w:r>
        <w:t xml:space="preserve">)  Eliminate </w:t>
      </w:r>
      <w:r>
        <w:rPr>
          <w:lang w:val="en-US" w:bidi="en-US" w:eastAsia="en-US"/>
        </w:rPr>
        <w:t xml:space="preserve">the </w:t>
      </w:r>
      <w:r>
        <w:t xml:space="preserve">GFCI and </w:t>
      </w:r>
      <w:r>
        <w:rPr>
          <w:lang w:val="en-US" w:bidi="en-US" w:eastAsia="en-US"/>
        </w:rPr>
        <w:t>arc-fault circuit interrup</w:t>
      </w:r>
      <w:r>
        <w:rPr>
          <w:lang w:val="en-US" w:bidi="en-US" w:eastAsia="en-US"/>
        </w:rPr>
        <w:t>ter (</w:t>
      </w:r>
      <w:r>
        <w:t>AFCI</w:t>
      </w:r>
      <w:r>
        <w:rPr>
          <w:lang w:val="en-US" w:bidi="en-US" w:eastAsia="en-US"/>
        </w:rPr>
        <w:t>)</w:t>
      </w:r>
      <w:r>
        <w:t xml:space="preserve"> requirement for life support equipment and like</w:t>
      </w:r>
      <w:r>
        <w:rPr>
          <w:lang w:val="en-US" w:bidi="en-US" w:eastAsia="en-US"/>
        </w:rPr>
        <w:t xml:space="preserve"> or </w:t>
      </w:r>
      <w:r>
        <w:t xml:space="preserve">similar equipment as determined by </w:t>
      </w:r>
      <w:r>
        <w:rPr>
          <w:lang w:val="en-US" w:bidi="en-US" w:eastAsia="en-US"/>
        </w:rPr>
        <w:t xml:space="preserve">the </w:t>
      </w:r>
      <w:r>
        <w:rPr>
          <w:lang w:val="en-US" w:bidi="en-US" w:eastAsia="en-US"/>
        </w:rPr>
        <w:t>a</w:t>
      </w:r>
      <w:r>
        <w:t xml:space="preserve">uthority </w:t>
      </w:r>
      <w:r>
        <w:rPr>
          <w:lang w:val="en-US" w:bidi="en-US" w:eastAsia="en-US"/>
        </w:rPr>
        <w:t>h</w:t>
      </w:r>
      <w:r>
        <w:t xml:space="preserve">aving </w:t>
      </w:r>
      <w:r>
        <w:rPr>
          <w:lang w:val="en-US" w:bidi="en-US" w:eastAsia="en-US"/>
        </w:rPr>
        <w:t>j</w:t>
      </w:r>
      <w:r>
        <w:t>urisdiction;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>(</w:t>
      </w:r>
      <w:r>
        <w:rPr>
          <w:lang w:val="en-US" w:bidi="en-US" w:eastAsia="en-US"/>
        </w:rPr>
        <w:t>e</w:t>
      </w:r>
      <w:r>
        <w:t>)  Clarify section 334.10. Uses permitted. Type NM, Type NMC, and Type NMS cables may be used in the following structures: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ab/>
        <w:t>(i)    One- and two</w:t>
      </w:r>
      <w:r>
        <w:rPr>
          <w:lang w:val="en-US" w:bidi="en-US" w:eastAsia="en-US"/>
        </w:rPr>
        <w:t>-</w:t>
      </w:r>
      <w:r>
        <w:t>family dwellings and accessory structures;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ab/>
        <w:tab/>
        <w:t>(ii)   Multifamily dwellings, farmsteads, and accessory structures of Types III, IV, and V construction</w:t>
      </w:r>
      <w:r>
        <w:rPr>
          <w:lang w:val="en-US" w:bidi="en-US" w:eastAsia="en-US"/>
        </w:rPr>
        <w:t>,</w:t>
      </w:r>
      <w:r>
        <w:t xml:space="preserve"> except as prohibited in </w:t>
      </w:r>
      <w:r>
        <w:rPr>
          <w:lang w:val="en-US" w:bidi="en-US" w:eastAsia="en-US"/>
        </w:rPr>
        <w:t xml:space="preserve">section </w:t>
      </w:r>
      <w:r>
        <w:t>334.12;</w:t>
      </w:r>
      <w:r>
        <w:rPr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  <w:r>
        <w:tab/>
        <w:tab/>
        <w:tab/>
        <w:t xml:space="preserve">(iii)  Other structures permitted to be of Types III, IV, and V construction except as prohibited in </w:t>
      </w:r>
      <w:r>
        <w:rPr>
          <w:lang w:val="en-US" w:bidi="en-US" w:eastAsia="en-US"/>
        </w:rPr>
        <w:t xml:space="preserve">section </w:t>
      </w:r>
      <w:r>
        <w:t xml:space="preserve">334.12. Cables </w:t>
      </w:r>
      <w:r>
        <w:rPr>
          <w:lang w:val="en-US" w:bidi="en-US" w:eastAsia="en-US"/>
        </w:rPr>
        <w:t>must</w:t>
      </w:r>
      <w:r>
        <w:t xml:space="preserve"> be concealed within walls, floors, or ceiling</w:t>
      </w:r>
      <w:r>
        <w:rPr>
          <w:lang w:val="en-US" w:bidi="en-US" w:eastAsia="en-US"/>
        </w:rPr>
        <w:t>s</w:t>
      </w:r>
      <w:r>
        <w:t xml:space="preserve"> that provide a thermal barrier of material that has at least a </w:t>
      </w:r>
      <w:r>
        <w:rPr>
          <w:lang w:val="en-US" w:bidi="en-US" w:eastAsia="en-US"/>
        </w:rPr>
        <w:t>fifteen</w:t>
      </w:r>
      <w:r>
        <w:t>-minute thermal finish rating as identified in listing of fire-rated assemblies;</w:t>
      </w:r>
      <w:r>
        <w:rPr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ab/>
        <w:tab/>
        <w:t>(f)  </w:t>
      </w:r>
      <w:r>
        <w:rPr>
          <w:color w:val="000000" w:themeColor="text1"/>
        </w:rPr>
        <w:t>Any outlet in a dwelling unit supplying a specific appliance in section 210.8(D)(8) through (12) is exempt from GFCI requirements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</w:t>
      </w:r>
      <w:r>
        <w:rPr>
          <w:lang w:val="en-US" w:bidi="en-US" w:eastAsia="en-US"/>
        </w:rPr>
        <w:t>2</w:t>
      </w:r>
      <w:r>
        <w:t>)  "Owner's exemption</w:t>
      </w:r>
      <w:r>
        <w:rPr>
          <w:lang w:val="en-US" w:bidi="en-US" w:eastAsia="en-US"/>
        </w:rPr>
        <w:t>,</w:t>
      </w:r>
      <w:r>
        <w:t>"</w:t>
      </w:r>
      <w:r>
        <w:rPr>
          <w:lang w:val="en-US" w:bidi="en-US" w:eastAsia="en-US"/>
        </w:rPr>
        <w:t xml:space="preserve"> </w:t>
      </w:r>
      <w:r>
        <w:t xml:space="preserve">an exemption from licensure </w:t>
      </w:r>
      <w:r>
        <w:rPr>
          <w:lang w:val="en-US" w:bidi="en-US" w:eastAsia="en-US"/>
        </w:rPr>
        <w:t>as described in SDCL 36-16-15</w:t>
      </w:r>
      <w: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</w:t>
      </w:r>
      <w:r>
        <w:rPr>
          <w:lang w:val="en-US" w:bidi="en-US" w:eastAsia="en-US"/>
        </w:rPr>
        <w:t>3</w:t>
      </w:r>
      <w:r>
        <w:t>)  "Wiring permit</w:t>
      </w:r>
      <w:r>
        <w:rPr>
          <w:lang w:val="en-US" w:bidi="en-US" w:eastAsia="en-US"/>
        </w:rPr>
        <w:t>,</w:t>
      </w:r>
      <w:r>
        <w:t>"</w:t>
      </w:r>
      <w:r>
        <w:t xml:space="preserve"> a form notifying the commission that a described electrical installation will be made in accordance with the requirements of this article at a described location;</w:t>
      </w:r>
      <w:r>
        <w:rPr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</w:t>
      </w:r>
      <w:r>
        <w:rPr>
          <w:lang w:val="en-US" w:bidi="en-US" w:eastAsia="en-US"/>
        </w:rPr>
        <w:t>4</w:t>
      </w:r>
      <w:r>
        <w:t>)  "Wiring school</w:t>
      </w:r>
      <w:r>
        <w:rPr>
          <w:lang w:val="en-US" w:bidi="en-US" w:eastAsia="en-US"/>
        </w:rPr>
        <w:t>,</w:t>
      </w:r>
      <w:r>
        <w:t>"</w:t>
      </w:r>
      <w:r>
        <w:t xml:space="preserve"> a postsecondary school that teaches one or more courses in electrical wiring </w:t>
      </w:r>
      <w:r>
        <w:rPr>
          <w:lang w:val="en-US" w:bidi="en-US" w:eastAsia="en-US"/>
        </w:rPr>
        <w:t>covering</w:t>
      </w:r>
      <w:r>
        <w:t xml:space="preserve"> the</w:t>
      </w:r>
      <w:r>
        <w:rPr>
          <w:lang w:val="en-US" w:bidi="en-US" w:eastAsia="en-US"/>
        </w:rPr>
        <w:t xml:space="preserve"> </w:t>
      </w:r>
      <w:r>
        <w:t>topics listed in §</w:t>
      </w:r>
      <w:r>
        <w:rPr>
          <w:lang w:val="en-US" w:bidi="en-US" w:eastAsia="en-US"/>
        </w:rPr>
        <w:t> </w:t>
      </w:r>
      <w:r>
        <w:t xml:space="preserve">20:44:16:12 and includes at least </w:t>
      </w:r>
      <w:r>
        <w:rPr>
          <w:lang w:val="en-US" w:bidi="en-US" w:eastAsia="en-US"/>
        </w:rPr>
        <w:t>five hundred seventy-six</w:t>
      </w:r>
      <w:r>
        <w:t xml:space="preserve"> hours of instruction on those topics.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4 SDR 37, effective January 1, 1978; 5 SDR 1, effective July 20, 1978; 7 SDR 60, effective January 1, 1981; 10 SDR 62, effective January 1, 1984; 10 SDR 131, effective June 3, 1984; 12 SDR 92, effective January 1, 1986; 12 SDR 151, 12 SDR 155, effective July 1, 1986; 13 SDR 75, 13 SDR 95, effective January 1, 1987; 16 SDR 153, effective March 29, 1990; 19 SDR 155, effective April 14, 1993; 20 SDR 222, effective July 6, 1994; transferred from § 20:44:01:01, August 12, 1994; 23 SDR 2, effective July 16, 1996; 25 SDR 157, effective July 1, 1999; 28 SDR 83, effective December 19, 2001; 28 SDR 178, effective July 1, 2002; 32 SDR 37, effective September 1, 2005; 34 SDR 322, effective July 1, 2008; 35 SDR 305, effective July 1, 2009; 37 SDR 236, effective June 29, 2011; 40 SDR 198, effective May 28, 2014</w:t>
      </w:r>
      <w:r>
        <w:rPr>
          <w:lang w:val="en-US" w:bidi="en-US" w:eastAsia="en-US"/>
        </w:rPr>
        <w:t>; 43 SDR 181, effective July 10, 2017; 46 SDR 128, effective May 26, 2020; 46 SDR 146, effective June 30, 2020</w:t>
      </w:r>
      <w:r>
        <w:rPr>
          <w:lang w:val="en-US" w:bidi="en-US" w:eastAsia="en-US"/>
        </w:rPr>
        <w:t>; 51 SDR 54, effective November 12,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36-16-12.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36-16-1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References:</w:t>
      </w:r>
      <w:r>
        <w:t xml:space="preserve"> The </w:t>
      </w:r>
      <w:r>
        <w:rPr>
          <w:b w:val="1"/>
        </w:rPr>
        <w:t>National Electrical Code</w:t>
      </w:r>
      <w:r>
        <w:t>, 20</w:t>
      </w:r>
      <w:r>
        <w:rPr>
          <w:lang w:val="en-US" w:bidi="en-US" w:eastAsia="en-US"/>
        </w:rPr>
        <w:t>2</w:t>
      </w:r>
      <w:r>
        <w:rPr>
          <w:lang w:val="en-US" w:bidi="en-US" w:eastAsia="en-US"/>
        </w:rPr>
        <w:t>3</w:t>
      </w:r>
      <w:r>
        <w:t xml:space="preserve"> Edition. National Fire Protection Association, Inc., </w:t>
      </w:r>
      <w:r>
        <w:rPr>
          <w:lang w:val="en-US" w:bidi="en-US" w:eastAsia="en-US"/>
        </w:rPr>
        <w:t>1</w:t>
      </w:r>
      <w:r>
        <w:t xml:space="preserve"> Batterymarch Park, Quincy, MA 02169-7471. Cost: $</w:t>
      </w:r>
      <w:r>
        <w:rPr>
          <w:lang w:val="en-US" w:bidi="en-US" w:eastAsia="en-US"/>
        </w:rPr>
        <w:t>145.50</w:t>
      </w:r>
      <w:r>
        <w:t>. (Price subject to change).</w:t>
      </w:r>
      <w:r>
        <w:rPr>
          <w:lang w:val="en-US" w:bidi="en-US" w:eastAsia="en-US"/>
        </w:rPr>
        <w:t xml:space="preserve"> Available for no cost at </w:t>
      </w:r>
      <w:hyperlink xmlns:r="http://schemas.openxmlformats.org/officeDocument/2006/relationships" r:id="R2">
        <w:r>
          <w:rPr>
            <w:rStyle w:val="C2"/>
            <w:lang w:val="en-US" w:bidi="en-US" w:eastAsia="en-US"/>
          </w:rPr>
          <w:t>https://www.nfpa.org/Codes-and-Standards/All-Codes-and-Standards/Free-access</w:t>
        </w:r>
      </w:hyperlink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International Building Code</w:t>
      </w:r>
      <w:r>
        <w:t>, 20</w:t>
      </w:r>
      <w:r>
        <w:rPr>
          <w:lang w:val="en-US" w:bidi="en-US" w:eastAsia="en-US"/>
        </w:rPr>
        <w:t>21</w:t>
      </w:r>
      <w:r>
        <w:t xml:space="preserve"> Edition, pages numbered numerically, International Code Council. Copies may be obtained fr</w:t>
      </w:r>
      <w:r>
        <w:t>om the International Code Council, Inc., 4051 West Flossmoor Road, Country Club Hills, IL 60478-5771. Cost: $</w:t>
      </w:r>
      <w:r>
        <w:rPr>
          <w:lang w:val="en-US" w:bidi="en-US" w:eastAsia="en-US"/>
        </w:rPr>
        <w:t>192</w:t>
      </w:r>
      <w:r>
        <w:t>.</w:t>
      </w:r>
      <w:r>
        <w:rPr>
          <w:lang w:val="en-US" w:bidi="en-US" w:eastAsia="en-US"/>
        </w:rPr>
        <w:t xml:space="preserve"> Available for no cost at </w:t>
      </w:r>
      <w:hyperlink xmlns:r="http://schemas.openxmlformats.org/officeDocument/2006/relationships" r:id="R3">
        <w:r>
          <w:rPr>
            <w:rStyle w:val="C2"/>
            <w:lang w:val="en-US" w:bidi="en-US" w:eastAsia="en-US"/>
          </w:rPr>
          <w:t>https://codes.iccsafe.org/content/IBC2021P2</w:t>
        </w:r>
      </w:hyperlink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2" Type="http://schemas.openxmlformats.org/officeDocument/2006/relationships/hyperlink" Target="https://www.nfpa.org/Codes-and-Standards/All-Codes-and-Standards/Free-access" TargetMode="External" /><Relationship Id="R3" Type="http://schemas.openxmlformats.org/officeDocument/2006/relationships/hyperlink" Target="https://codes.iccsafe.org/content/IBC2021P2" TargetMode="Externa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2020-05-12T15:00:22Z</dcterms:created>
  <cp:lastModifiedBy>Kelly Thompson</cp:lastModifiedBy>
  <dcterms:modified xsi:type="dcterms:W3CDTF">2024-11-06T15:07:31Z</dcterms:modified>
  <cp:revision>15</cp:revision>
</cp:coreProperties>
</file>