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273B8C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20:44:21:04.  Municipal licenses.</w:t>
      </w:r>
      <w:r>
        <w:rPr>
          <w:rFonts w:ascii="Times New Roman" w:hAnsi="Times New Roman"/>
          <w:sz w:val="24"/>
        </w:rPr>
        <w:t xml:space="preserve"> An electrician applying for a license from a municipal government under SDCL 9-34-12 must first possess a state license before being eligible to hold the equivalen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 xml:space="preserve"> or lesser local license.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the equivalent license does not exist at the state level, the license offered by a municipal government must first be approved by the commission and then passed as an ordinance by the municipal government.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153, effective March 29, 1990; 20 SDR 222, effective July 6, 1994; transferred from § 20:44:07:04, August 12, 1994; 37 SDR 236, effective June 29, 2011.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36-16-12.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36-16-12, 36-16-14.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