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20:44:23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MODULAR HOMES AND STRUCTURES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20:44:23:01</w:t>
        <w:tab/>
        <w:tab/>
        <w:t>Modular homes and modular structures -- Compliance with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20:44:23:02</w:t>
        <w:tab/>
        <w:tab/>
        <w:t>Wiring permit required for modular homes and modular structures.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20:44:23:03</w:t>
        <w:tab/>
        <w:tab/>
        <w:t>Inspection of modular homes and modular structures.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20:44:23:04</w:t>
        <w:tab/>
        <w:tab/>
        <w:t>Inspection fees for modular homes and modular structures.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20:44:23:05</w:t>
        <w:tab/>
        <w:tab/>
        <w:t>Thi</w:t>
      </w:r>
      <w:r>
        <w:rPr>
          <w:rFonts w:ascii="Times New Roman" w:hAnsi="Times New Roman"/>
          <w:sz w:val="24"/>
          <w:lang w:val="en-US" w:bidi="en-US" w:eastAsia="en-US"/>
        </w:rPr>
        <w:t>rd-party inspection.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2004-07-02T19:17:00Z</dcterms:created>
  <cp:lastModifiedBy>Kelly Thompson</cp:lastModifiedBy>
  <dcterms:modified xsi:type="dcterms:W3CDTF">2024-11-06T18:03:05Z</dcterms:modified>
  <cp:revision>3</cp:revision>
  <dc:title>CHAPTER 20:44:23</dc:title>
</cp:coreProperties>
</file>