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C49183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20:44:24:04.  Notice of itinerary and application for inspection.</w:t>
      </w:r>
      <w:r>
        <w:rPr>
          <w:rFonts w:ascii="Times New Roman" w:hAnsi="Times New Roman"/>
          <w:sz w:val="24"/>
        </w:rPr>
        <w:t xml:space="preserve"> Each outdoor amusement enterprise</w:t>
      </w:r>
      <w:r>
        <w:rPr>
          <w:rFonts w:ascii="Times New Roman" w:hAnsi="Times New Roman"/>
          <w:sz w:val="24"/>
          <w:lang w:val="en-US" w:bidi="en-US" w:eastAsia="en-US"/>
        </w:rPr>
        <w:t xml:space="preserve"> entity, celebration sponsor,</w:t>
      </w:r>
      <w:r>
        <w:rPr>
          <w:rFonts w:ascii="Times New Roman" w:hAnsi="Times New Roman"/>
          <w:sz w:val="24"/>
        </w:rPr>
        <w:t xml:space="preserve"> or carnival operating or intending to operate in South Dakota shall notify the commission each year of its itinerary and apply for the initial inspection </w:t>
      </w:r>
      <w:r>
        <w:rPr>
          <w:rFonts w:ascii="Times New Roman" w:hAnsi="Times New Roman"/>
          <w:sz w:val="24"/>
          <w:lang w:val="en-US" w:bidi="en-US" w:eastAsia="en-US"/>
        </w:rPr>
        <w:t>at least 10 business days prior to</w:t>
      </w:r>
      <w:r>
        <w:rPr>
          <w:rFonts w:ascii="Times New Roman" w:hAnsi="Times New Roman"/>
          <w:sz w:val="24"/>
        </w:rPr>
        <w:t xml:space="preserve"> the first</w:t>
      </w:r>
      <w:r>
        <w:rPr>
          <w:rFonts w:ascii="Times New Roman" w:hAnsi="Times New Roman"/>
          <w:sz w:val="24"/>
          <w:lang w:val="en-US" w:bidi="en-US" w:eastAsia="en-US"/>
        </w:rPr>
        <w:t xml:space="preserve"> calendar</w:t>
      </w:r>
      <w:r>
        <w:rPr>
          <w:rFonts w:ascii="Times New Roman" w:hAnsi="Times New Roman"/>
          <w:sz w:val="24"/>
        </w:rPr>
        <w:t xml:space="preserve"> engagement in the state.</w:t>
      </w:r>
      <w:r>
        <w:rPr>
          <w:rFonts w:ascii="Times New Roman" w:hAnsi="Times New Roman"/>
          <w:sz w:val="24"/>
          <w:lang w:val="en-US" w:bidi="en-US" w:eastAsia="en-US"/>
        </w:rPr>
        <w:t xml:space="preserve"> A list of rides, concessions, and booths are to be provided to</w:t>
      </w:r>
      <w:r>
        <w:rPr>
          <w:rFonts w:ascii="Times New Roman" w:hAnsi="Times New Roman"/>
          <w:sz w:val="24"/>
          <w:lang w:val="en-US" w:bidi="en-US" w:eastAsia="en-US"/>
        </w:rPr>
        <w:t xml:space="preserve"> the</w:t>
      </w:r>
      <w:r>
        <w:rPr>
          <w:rFonts w:ascii="Times New Roman" w:hAnsi="Times New Roman"/>
          <w:sz w:val="24"/>
          <w:lang w:val="en-US" w:bidi="en-US" w:eastAsia="en-US"/>
        </w:rPr>
        <w:t xml:space="preserve"> commission at least 72 hours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prior to energization. Failure to comply is subject to a $100 administrative fee.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151, 12 SDR 155, effective July 1, 1986; transferred from § 20:44:09:04, August 12, 1994</w:t>
      </w:r>
      <w:r>
        <w:t>;</w:t>
      </w:r>
      <w:r>
        <w:rPr>
          <w:rFonts w:ascii="Times New Roman" w:hAnsi="Times New Roman"/>
          <w:sz w:val="24"/>
        </w:rPr>
        <w:t xml:space="preserve"> 43 SDR 181, effective July 10,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36-16-12.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36-16-27.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