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D4DA9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5:02:04:04.  Notice of deadline for voter registration.</w:t>
      </w:r>
      <w:r>
        <w:t xml:space="preserve"> The notice of deadline for voter registration must be in the following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jc w:val="center"/>
        <w:rPr>
          <w:b w:val="1"/>
        </w:rPr>
      </w:pPr>
      <w:r>
        <w:rPr>
          <w:b w:val="1"/>
        </w:rPr>
        <w:t>NOTICE OF DEADLINE FOR VOTER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Voter registration for the ________________ Election to be held on ___________________, will close on __________________</w:t>
      </w:r>
      <w:r>
        <w:rPr>
          <w:lang w:val="en-US" w:bidi="en-US" w:eastAsia="en-US"/>
        </w:rPr>
        <w:t xml:space="preserve"> at 5:00 p.m</w:t>
      </w:r>
      <w:r>
        <w:t xml:space="preserve">. Failure to register by this date will cause forfeiture of voting rights for this election. If you are in doubt about whether you are registered, check the Voter Information Portal at </w:t>
      </w:r>
      <w:r>
        <w:fldChar w:fldCharType="begin"/>
      </w:r>
      <w:r>
        <w:instrText>HYPERLINK "http://www.sdsos.gov"</w:instrText>
      </w:r>
      <w:r>
        <w:fldChar w:fldCharType="separate"/>
      </w:r>
      <w:r>
        <w:rPr>
          <w:rStyle w:val="C2"/>
        </w:rPr>
        <w:t>www.sdsos.gov</w:t>
      </w:r>
      <w:r>
        <w:rPr>
          <w:rStyle w:val="C2"/>
        </w:rPr>
        <w:fldChar w:fldCharType="end"/>
      </w:r>
      <w:r>
        <w:t xml:space="preserve"> or call the county auditor at </w:t>
      </w:r>
      <w:r>
        <w:rPr>
          <w:u w:val="single"/>
        </w:rPr>
        <w:t>   (telephone number)   </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Registration may be completed during regular business hours at the county auditor's office, municipal finance office, secretary of state's office, and those locations which provide driver's licenses, SNAP, TANF, WIC, military recruitment, and assistance to the disabled as provided by the Department of Human Services. You may contact the county auditor to request a mail-in registration form or access a mail-in form at (</w:t>
      </w:r>
      <w:r>
        <w:fldChar w:fldCharType="begin"/>
      </w:r>
      <w:r>
        <w:instrText>HYPERLINK "http://www.sdsos.gov"</w:instrText>
      </w:r>
      <w:r>
        <w:fldChar w:fldCharType="separate"/>
      </w:r>
      <w:r>
        <w:rPr>
          <w:rStyle w:val="C2"/>
        </w:rPr>
        <w:t>www.sdsos.gov</w:t>
      </w:r>
      <w:r>
        <w:rPr>
          <w:rStyle w:val="C2"/>
        </w:rPr>
        <w:fldChar w:fldCharType="end"/>
      </w:r>
      <w:r>
        <w:t xml:space="preserve"> or a county provided website with a link to a voter registration form - insert one option or the other).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Any voter who needs assistance, pursuant to the Americans with Disabilities Act, may contact the county auditor for information and special assistance in voter registration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right"/>
      </w:pPr>
      <w:r>
        <w:t>_______________________________________</w:t>
      </w:r>
    </w:p>
    <w:p>
      <w:pPr>
        <w:pStyle w:val="P1"/>
      </w:pPr>
      <w:r>
        <w:tab/>
        <w:tab/>
        <w:tab/>
        <w:tab/>
        <w:tab/>
        <w:tab/>
        <w:tab/>
        <w:tab/>
        <w:tab/>
        <w:tab/>
        <w:tab/>
        <w:tab/>
        <w:tab/>
        <w:t>(Person in charge of election - Title)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right"/>
      </w:pPr>
      <w:r>
        <w:t>_______________________________________</w:t>
      </w:r>
    </w:p>
    <w:p>
      <w:pPr>
        <w:pStyle w:val="P1"/>
      </w:pPr>
      <w:r>
        <w:tab/>
        <w:tab/>
        <w:tab/>
        <w:tab/>
        <w:tab/>
        <w:tab/>
        <w:tab/>
        <w:tab/>
        <w:tab/>
        <w:tab/>
        <w:tab/>
        <w:tab/>
        <w:tab/>
        <w:t>(Political Subdivision)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4 SDR 26, effective October 27, 1977; 6 SDR 25, effective September 24, 1979; 6 SDR 123, effective July 2, 1980; 8 SDR 24, effective September 16, 1981; 12 SDR 43, effective September 23, 1985; 21 SDR 77, effective October 24, 1994; 25 SDR 8, effective August 3, 1998; 27 SDR 146, effective July 9, 2001; 30 SDR 171, effective May 10, 2004; 36 SDR 112, effective January 11, 2010</w:t>
      </w:r>
      <w:r>
        <w:rPr>
          <w:lang w:val="en-US" w:bidi="en-US" w:eastAsia="en-US"/>
        </w:rPr>
        <w:t xml:space="preserve">; 42 </w:t>
      </w:r>
      <w:r>
        <w:rPr>
          <w:lang w:val="en-US" w:bidi="en-US" w:eastAsia="en-US"/>
        </w:rPr>
        <w:t>SDR 178, effective July 1,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12-1-9(3).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12-4-3, 12-4-5.2, 12-4-7.2.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Cross-Reference:</w:t>
      </w:r>
      <w:r>
        <w:t xml:space="preserve"> Pub. L. No. 98-435.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sz w:val="24"/>
    </w:rPr>
  </w:style>
  <w:style w:type="paragraph" w:styleId="P1">
    <w:name w:val="Body Text 23"/>
    <w:basedOn w:val="P0"/>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