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10:02:02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FEES CHARGEABLE FOR LEGAL PUBLICATIONS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 xml:space="preserve">(Effective January 1, 2022) </w:t>
      </w:r>
      <w:r>
        <w:rPr>
          <w:rFonts w:ascii="Times New Roman" w:hAnsi="Times New Roman"/>
          <w:sz w:val="24"/>
        </w:rPr>
        <w:t>Maximum fees chargeable.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10:02:02:02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(Effective Janu</w:t>
      </w:r>
      <w:r>
        <w:rPr>
          <w:rFonts w:ascii="Times New Roman" w:hAnsi="Times New Roman"/>
          <w:sz w:val="24"/>
          <w:lang w:val="en-US" w:bidi="en-US" w:eastAsia="en-US"/>
        </w:rPr>
        <w:t xml:space="preserve">ary 1, 2022) </w:t>
      </w:r>
      <w:r>
        <w:rPr>
          <w:rFonts w:ascii="Times New Roman" w:hAnsi="Times New Roman"/>
          <w:sz w:val="24"/>
        </w:rPr>
        <w:t>Fee chargeable by newspapers with large circulation.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2004-05-27T21:57:00Z</dcterms:created>
  <cp:lastModifiedBy>Kelly Thompson</cp:lastModifiedBy>
  <dcterms:modified xsi:type="dcterms:W3CDTF">2021-09-30T13:13:24Z</dcterms:modified>
  <cp:revision>4</cp:revision>
  <dc:title>CHAPTER 10:02:02</dc:title>
</cp:coreProperties>
</file>