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17:60:11:06.  Hearing to determine violation and mitigation.</w:t>
      </w:r>
      <w:r>
        <w:rPr>
          <w:rFonts w:ascii="Times New Roman" w:hAnsi="Times New Roman"/>
          <w:sz w:val="24"/>
        </w:rPr>
        <w:t xml:space="preserve"> The final hearing shall include a determination of any contested facts. The parolee may introduce evidence to establish that the conditions and rules of supervision have not been violated or, if a violation has occurred, that mitigating circumstances do not warrant revocation.</w:t>
      </w:r>
    </w:p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081CC2" w:rsidRDefault="00081CC2" w:rsidP="00EA4B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1CC2" w:rsidSect="00081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1CC2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A4BD9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D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2004-07-12T19:15:00Z</dcterms:created>
  <dcterms:modified xsi:type="dcterms:W3CDTF">2004-07-12T19:15:00Z</dcterms:modified>
</cp:coreProperties>
</file>