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20:43:03:02.  </w:t>
      </w:r>
      <w:r>
        <w:rPr>
          <w:rFonts w:ascii="Times New Roman" w:hAnsi="Times New Roman"/>
          <w:b w:val="1"/>
          <w:sz w:val="24"/>
          <w:lang w:val="en-US" w:bidi="en-US" w:eastAsia="en-US"/>
        </w:rPr>
        <w:t xml:space="preserve">Application for license to practice as a dentist -- </w:t>
      </w:r>
      <w:r>
        <w:rPr>
          <w:rFonts w:ascii="Times New Roman" w:hAnsi="Times New Roman"/>
          <w:b w:val="1"/>
          <w:sz w:val="24"/>
        </w:rPr>
        <w:t>Clinical competency examination.</w:t>
      </w:r>
      <w:r>
        <w:rPr>
          <w:rFonts w:ascii="Times New Roman" w:hAnsi="Times New Roman"/>
          <w:sz w:val="24"/>
        </w:rPr>
        <w:t xml:space="preserve"> The </w:t>
      </w:r>
      <w:r>
        <w:rPr>
          <w:rFonts w:ascii="Times New Roman" w:hAnsi="Times New Roman"/>
          <w:sz w:val="24"/>
          <w:lang w:val="en-US" w:bidi="en-US" w:eastAsia="en-US"/>
        </w:rPr>
        <w:t>State Board of Dentistry</w:t>
      </w:r>
      <w:r>
        <w:rPr>
          <w:rFonts w:ascii="Times New Roman" w:hAnsi="Times New Roman"/>
          <w:sz w:val="24"/>
        </w:rPr>
        <w:t xml:space="preserve"> may approve a patient-based</w:t>
      </w:r>
      <w:r>
        <w:rPr>
          <w:rFonts w:ascii="Times New Roman" w:hAnsi="Times New Roman"/>
          <w:sz w:val="24"/>
          <w:lang w:val="en-US" w:bidi="en-US" w:eastAsia="en-US"/>
        </w:rPr>
        <w:t>, simulation-based,</w:t>
      </w:r>
      <w:r>
        <w:rPr>
          <w:rFonts w:ascii="Times New Roman" w:hAnsi="Times New Roman"/>
          <w:sz w:val="24"/>
          <w:lang w:val="en-US" w:bidi="en-US" w:eastAsia="en-US"/>
        </w:rPr>
        <w:t xml:space="preserve"> or </w:t>
      </w:r>
      <w:r>
        <w:rPr>
          <w:rFonts w:ascii="Times New Roman" w:hAnsi="Times New Roman"/>
          <w:sz w:val="24"/>
          <w:lang w:val="en-US" w:bidi="en-US" w:eastAsia="en-US"/>
        </w:rPr>
        <w:t xml:space="preserve">manikin-based </w:t>
      </w:r>
      <w:r>
        <w:rPr>
          <w:rFonts w:ascii="Times New Roman" w:hAnsi="Times New Roman"/>
          <w:sz w:val="24"/>
        </w:rPr>
        <w:t xml:space="preserve">clinical competency </w:t>
      </w:r>
      <w:r>
        <w:rPr>
          <w:rFonts w:ascii="Times New Roman" w:hAnsi="Times New Roman"/>
          <w:sz w:val="24"/>
          <w:lang w:val="en-US" w:bidi="en-US" w:eastAsia="en-US"/>
        </w:rPr>
        <w:t xml:space="preserve">psychomotor </w:t>
      </w:r>
      <w:r>
        <w:rPr>
          <w:rFonts w:ascii="Times New Roman" w:hAnsi="Times New Roman"/>
          <w:sz w:val="24"/>
        </w:rPr>
        <w:t xml:space="preserve">examination </w:t>
      </w:r>
      <w:r>
        <w:rPr>
          <w:rFonts w:ascii="Times New Roman" w:hAnsi="Times New Roman"/>
          <w:sz w:val="24"/>
          <w:lang w:val="en-US" w:bidi="en-US" w:eastAsia="en-US"/>
        </w:rPr>
        <w:t xml:space="preserve">for purposes </w:t>
      </w:r>
      <w:r>
        <w:rPr>
          <w:rFonts w:ascii="Times New Roman" w:hAnsi="Times New Roman"/>
          <w:sz w:val="24"/>
          <w:lang w:val="en-US" w:bidi="en-US" w:eastAsia="en-US"/>
        </w:rPr>
        <w:t>of</w:t>
      </w:r>
      <w:r>
        <w:rPr>
          <w:rFonts w:ascii="Times New Roman" w:hAnsi="Times New Roman"/>
          <w:sz w:val="24"/>
          <w:lang w:val="en-US" w:bidi="en-US" w:eastAsia="en-US"/>
        </w:rPr>
        <w:t xml:space="preserve"> subdivision</w:t>
      </w:r>
      <w:r>
        <w:rPr>
          <w:rFonts w:ascii="Times New Roman" w:hAnsi="Times New Roman"/>
          <w:sz w:val="24"/>
        </w:rPr>
        <w:t xml:space="preserve"> 20:43:03:01(4) that</w:t>
      </w:r>
      <w:r>
        <w:rPr>
          <w:rFonts w:ascii="Times New Roman" w:hAnsi="Times New Roman"/>
          <w:sz w:val="24"/>
          <w:lang w:val="en-US" w:bidi="en-US" w:eastAsia="en-US"/>
        </w:rPr>
        <w:t xml:space="preserve"> demonstrates evidence of psychometric soundness</w:t>
      </w:r>
      <w:r>
        <w:rPr>
          <w:rFonts w:ascii="Times New Roman" w:hAnsi="Times New Roman"/>
          <w:sz w:val="24"/>
          <w:lang w:val="en-US" w:bidi="en-US" w:eastAsia="en-US"/>
        </w:rPr>
        <w:t xml:space="preserve"> with documented </w:t>
      </w:r>
      <w:r>
        <w:rPr>
          <w:rFonts w:ascii="Times New Roman" w:hAnsi="Times New Roman"/>
          <w:sz w:val="24"/>
          <w:lang w:val="en-US" w:bidi="en-US" w:eastAsia="en-US"/>
        </w:rPr>
        <w:t>validity, reliability, fidelity</w:t>
      </w:r>
      <w:r>
        <w:rPr>
          <w:rFonts w:ascii="Times New Roman" w:hAnsi="Times New Roman"/>
          <w:sz w:val="24"/>
          <w:lang w:val="en-US" w:bidi="en-US" w:eastAsia="en-US"/>
        </w:rPr>
        <w:t>,</w:t>
      </w:r>
      <w:r>
        <w:rPr>
          <w:rFonts w:ascii="Times New Roman" w:hAnsi="Times New Roman"/>
          <w:sz w:val="24"/>
          <w:lang w:val="en-US" w:bidi="en-US" w:eastAsia="en-US"/>
        </w:rPr>
        <w:t xml:space="preserve"> and fairness</w:t>
      </w:r>
      <w:r>
        <w:rPr>
          <w:rFonts w:ascii="Times New Roman" w:hAnsi="Times New Roman"/>
          <w:sz w:val="24"/>
          <w:lang w:val="en-US" w:bidi="en-US" w:eastAsia="en-US"/>
        </w:rPr>
        <w:t>;</w:t>
      </w:r>
      <w:r>
        <w:rPr>
          <w:rFonts w:ascii="Times New Roman" w:hAnsi="Times New Roman"/>
          <w:sz w:val="24"/>
          <w:lang w:val="en-US" w:bidi="en-US" w:eastAsia="en-US"/>
        </w:rPr>
        <w:t xml:space="preserve"> allows direct observation by a board designee</w:t>
      </w:r>
      <w:r>
        <w:rPr>
          <w:rFonts w:ascii="Times New Roman" w:hAnsi="Times New Roman"/>
          <w:sz w:val="24"/>
          <w:lang w:val="en-US" w:bidi="en-US" w:eastAsia="en-US"/>
        </w:rPr>
        <w:t>;</w:t>
      </w:r>
      <w:r>
        <w:rPr>
          <w:rFonts w:ascii="Times New Roman" w:hAnsi="Times New Roman"/>
          <w:sz w:val="24"/>
          <w:lang w:val="en-US" w:bidi="en-US" w:eastAsia="en-US"/>
        </w:rPr>
        <w:t xml:space="preserve"> and</w:t>
      </w:r>
      <w:r>
        <w:rPr>
          <w:rFonts w:ascii="Times New Roman" w:hAnsi="Times New Roman"/>
          <w:sz w:val="24"/>
        </w:rPr>
        <w:t xml:space="preserve"> includes</w:t>
      </w:r>
      <w:r>
        <w:rPr>
          <w:rFonts w:ascii="Times New Roman" w:hAnsi="Times New Roman"/>
          <w:sz w:val="24"/>
        </w:rPr>
        <w:t>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A patient-based</w:t>
      </w:r>
      <w:r>
        <w:rPr>
          <w:rFonts w:ascii="Times New Roman" w:hAnsi="Times New Roman"/>
          <w:sz w:val="24"/>
          <w:lang w:val="en-US" w:bidi="en-US" w:eastAsia="en-US"/>
        </w:rPr>
        <w:t xml:space="preserve"> or </w:t>
      </w:r>
      <w:r>
        <w:rPr>
          <w:rFonts w:ascii="Times New Roman" w:hAnsi="Times New Roman"/>
          <w:sz w:val="24"/>
          <w:lang w:val="en-US" w:bidi="en-US" w:eastAsia="en-US"/>
        </w:rPr>
        <w:t xml:space="preserve">an </w:t>
      </w:r>
      <w:r>
        <w:rPr>
          <w:rFonts w:ascii="Times New Roman" w:hAnsi="Times New Roman"/>
          <w:sz w:val="24"/>
          <w:lang w:val="en-US" w:bidi="en-US" w:eastAsia="en-US"/>
        </w:rPr>
        <w:t xml:space="preserve">equivalent </w:t>
      </w:r>
      <w:r>
        <w:rPr>
          <w:rFonts w:ascii="Times New Roman" w:hAnsi="Times New Roman"/>
          <w:sz w:val="24"/>
          <w:lang w:val="en-US" w:bidi="en-US" w:eastAsia="en-US"/>
        </w:rPr>
        <w:t xml:space="preserve">simulation-based or </w:t>
      </w:r>
      <w:r>
        <w:rPr>
          <w:rFonts w:ascii="Times New Roman" w:hAnsi="Times New Roman"/>
          <w:sz w:val="24"/>
          <w:lang w:val="en-US" w:bidi="en-US" w:eastAsia="en-US"/>
        </w:rPr>
        <w:t>manikin-based</w:t>
      </w:r>
      <w:r>
        <w:rPr>
          <w:rFonts w:ascii="Times New Roman" w:hAnsi="Times New Roman"/>
          <w:sz w:val="24"/>
        </w:rPr>
        <w:t xml:space="preserve"> periodontal component;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A patient-based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</w:rPr>
        <w:t xml:space="preserve">or </w:t>
      </w:r>
      <w:r>
        <w:rPr>
          <w:rFonts w:ascii="Times New Roman" w:hAnsi="Times New Roman"/>
          <w:sz w:val="24"/>
          <w:lang w:val="en-US" w:bidi="en-US" w:eastAsia="en-US"/>
        </w:rPr>
        <w:t xml:space="preserve">an </w:t>
      </w:r>
      <w:r>
        <w:rPr>
          <w:rFonts w:ascii="Times New Roman" w:hAnsi="Times New Roman"/>
          <w:sz w:val="24"/>
        </w:rPr>
        <w:t xml:space="preserve">equivalent </w:t>
      </w:r>
      <w:r>
        <w:rPr>
          <w:rFonts w:ascii="Times New Roman" w:hAnsi="Times New Roman"/>
          <w:sz w:val="24"/>
          <w:lang w:val="en-US" w:bidi="en-US" w:eastAsia="en-US"/>
        </w:rPr>
        <w:t xml:space="preserve">simulation-based or </w:t>
      </w:r>
      <w:r>
        <w:rPr>
          <w:rFonts w:ascii="Times New Roman" w:hAnsi="Times New Roman"/>
          <w:sz w:val="24"/>
        </w:rPr>
        <w:t>manikin-based restorative component;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  <w:lang w:val="en-US" w:bidi="en-US" w:eastAsia="en-US"/>
        </w:rPr>
        <w:t xml:space="preserve">simulation-based or </w:t>
      </w:r>
      <w:r>
        <w:rPr>
          <w:rFonts w:ascii="Times New Roman" w:hAnsi="Times New Roman"/>
          <w:sz w:val="24"/>
        </w:rPr>
        <w:t>manikin-based prosthodontic component;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  <w:lang w:val="en-US" w:bidi="en-US" w:eastAsia="en-US"/>
        </w:rPr>
        <w:t xml:space="preserve">simulation-based or </w:t>
      </w:r>
      <w:r>
        <w:rPr>
          <w:rFonts w:ascii="Times New Roman" w:hAnsi="Times New Roman"/>
          <w:sz w:val="24"/>
        </w:rPr>
        <w:t>manikin-based endodontic component;</w:t>
      </w:r>
      <w:r>
        <w:rPr>
          <w:rFonts w:ascii="Times New Roman" w:hAnsi="Times New Roman"/>
          <w:sz w:val="24"/>
          <w:lang w:val="en-US" w:bidi="en-US" w:eastAsia="en-US"/>
        </w:rPr>
        <w:t xml:space="preserve">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</w:t>
      </w:r>
      <w:r>
        <w:rPr>
          <w:rFonts w:ascii="Times New Roman" w:hAnsi="Times New Roman"/>
          <w:sz w:val="24"/>
          <w:lang w:val="en-US" w:bidi="en-US" w:eastAsia="en-US"/>
        </w:rPr>
        <w:t>  </w:t>
      </w:r>
      <w:r>
        <w:rPr>
          <w:rFonts w:ascii="Times New Roman" w:hAnsi="Times New Roman"/>
          <w:sz w:val="24"/>
        </w:rPr>
        <w:t>A remediation policy to address candidate deficiencies.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Source: </w:t>
      </w:r>
      <w:r>
        <w:rPr>
          <w:rFonts w:ascii="Times New Roman" w:hAnsi="Times New Roman"/>
          <w:sz w:val="24"/>
          <w:lang w:val="en-US" w:bidi="en-US" w:eastAsia="en-US"/>
        </w:rPr>
        <w:t>45 SDR 35, effective September 19, 2018</w:t>
      </w:r>
      <w:r>
        <w:rPr>
          <w:rFonts w:ascii="Times New Roman" w:hAnsi="Times New Roman"/>
          <w:sz w:val="24"/>
        </w:rPr>
        <w:t>; 46 SDR 75, effective December 4, 2019; 47 SDR 11, effective August 12, 2020</w:t>
      </w:r>
      <w:r>
        <w:rPr>
          <w:rFonts w:ascii="Times New Roman" w:hAnsi="Times New Roman"/>
          <w:sz w:val="24"/>
          <w:lang w:val="en-US" w:bidi="en-US" w:eastAsia="en-US"/>
        </w:rPr>
        <w:t>; 50 SDR 12, effective August 8, 2023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General Authority:</w:t>
      </w:r>
      <w:r>
        <w:rPr>
          <w:rFonts w:ascii="Times New Roman" w:hAnsi="Times New Roman"/>
          <w:sz w:val="24"/>
          <w:lang w:val="en-US" w:bidi="en-US" w:eastAsia="en-US"/>
        </w:rPr>
        <w:t xml:space="preserve"> SDCL 36-6A-14(20)</w:t>
      </w:r>
      <w:r>
        <w:rPr>
          <w:rFonts w:ascii="Times New Roman" w:hAnsi="Times New Roman"/>
          <w:sz w:val="24"/>
          <w:lang w:val="en-US" w:bidi="en-US" w:eastAsia="en-US"/>
        </w:rPr>
        <w:t>, 36-6A-44</w:t>
      </w:r>
      <w:r>
        <w:rPr>
          <w:rFonts w:ascii="Times New Roman" w:hAnsi="Times New Roman"/>
          <w:sz w:val="24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b w:val="1"/>
          <w:sz w:val="24"/>
          <w:lang w:val="en-US" w:bidi="en-US" w:eastAsia="en-US"/>
        </w:rPr>
        <w:t>Law Implemented:</w:t>
      </w:r>
      <w:r>
        <w:rPr>
          <w:rFonts w:ascii="Times New Roman" w:hAnsi="Times New Roman"/>
          <w:sz w:val="24"/>
          <w:lang w:val="en-US" w:bidi="en-US" w:eastAsia="en-US"/>
        </w:rPr>
        <w:t xml:space="preserve"> SDCL 36-6A-14(3), 36-6A-44(4).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616" w:leader="none"/>
          <w:tab w:val="left" w:pos="5904" w:leader="none"/>
          <w:tab w:val="left" w:pos="6624" w:leader="none"/>
        </w:tabs>
        <w:jc w:val="both"/>
        <w:rPr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2012-04-17T22:27:00Z</dcterms:created>
  <cp:lastModifiedBy>Kelly Thompson</cp:lastModifiedBy>
  <dcterms:modified xsi:type="dcterms:W3CDTF">2023-08-03T21:53:49Z</dcterms:modified>
  <cp:revision>13</cp:revision>
</cp:coreProperties>
</file>