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8A3E2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20:48:07:47.  Maintaining ongoing approval</w:t>
      </w:r>
      <w:r>
        <w:rPr>
          <w:rFonts w:ascii="Times New Roman" w:hAnsi="Times New Roman"/>
          <w:b w:val="1"/>
          <w:sz w:val="24"/>
          <w:lang w:val="en-US" w:bidi="en-US" w:eastAsia="en-US"/>
        </w:rPr>
        <w:t xml:space="preserve"> -- Undergraduate nursing education programs</w:t>
      </w:r>
      <w:r>
        <w:rPr>
          <w:rFonts w:ascii="Times New Roman" w:hAnsi="Times New Roman"/>
          <w:b w:val="1"/>
          <w:sz w:val="24"/>
        </w:rPr>
        <w:t>.</w:t>
      </w:r>
      <w:r>
        <w:rPr>
          <w:rFonts w:ascii="Times New Roman" w:hAnsi="Times New Roman"/>
          <w:sz w:val="24"/>
        </w:rPr>
        <w:t xml:space="preserve"> To maintain ongoing approval each</w:t>
      </w:r>
      <w:r>
        <w:rPr>
          <w:rFonts w:ascii="Times New Roman" w:hAnsi="Times New Roman"/>
          <w:sz w:val="24"/>
          <w:lang w:val="en-US" w:bidi="en-US" w:eastAsia="en-US"/>
        </w:rPr>
        <w:t xml:space="preserve"> undergraduate</w:t>
      </w:r>
      <w:r>
        <w:rPr>
          <w:rFonts w:ascii="Times New Roman" w:hAnsi="Times New Roman"/>
          <w:sz w:val="24"/>
        </w:rPr>
        <w:t xml:space="preserve"> program must maintain a minimum of a 75 percent passing rate for first-time writers on the National Council Licensing Examination, as calculated pursuant to this section. If the program fails to meet this requirement for two consecutive measuring periods, the board shall </w:t>
      </w:r>
      <w:r>
        <w:rPr>
          <w:rFonts w:ascii="Times New Roman" w:hAnsi="Times New Roman"/>
          <w:sz w:val="24"/>
        </w:rPr>
        <w:t>require the program to submit a detailed action plan for improvement of the</w:t>
      </w:r>
      <w:r>
        <w:rPr>
          <w:rFonts w:ascii="Times New Roman" w:hAnsi="Times New Roman"/>
          <w:sz w:val="24"/>
          <w:lang w:val="en-US" w:bidi="en-US" w:eastAsia="en-US"/>
        </w:rPr>
        <w:t xml:space="preserve"> </w:t>
      </w:r>
      <w:r>
        <w:rPr>
          <w:rFonts w:ascii="Times New Roman" w:hAnsi="Times New Roman"/>
          <w:sz w:val="24"/>
        </w:rPr>
        <w:t>National Council Licensing Examination scores</w:t>
      </w:r>
      <w:r>
        <w:rPr>
          <w:rFonts w:ascii="Times New Roman" w:hAnsi="Times New Roman"/>
          <w:sz w:val="24"/>
        </w:rPr>
        <w:t>. For purposes of this section, the term, measuring period, means that period commencing on January 1 of each calendar year and continuing until December 31 of the calendar year in which the number of first-time writers on the National Council Licensing Examination since the start of the respective measuring period equals or exceeds twenty-one. Measuring periods may overlap.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3"/>
      </w:pPr>
      <w:r>
        <w:tab/>
        <w:t xml:space="preserve">Each program must submit a report to the board </w:t>
      </w:r>
      <w:r>
        <w:t>in the format</w:t>
      </w:r>
      <w:r>
        <w:rPr>
          <w:lang w:val="en-US" w:bidi="en-US" w:eastAsia="en-US"/>
        </w:rPr>
        <w:t xml:space="preserve"> and by the deadline</w:t>
      </w:r>
      <w:r>
        <w:t xml:space="preserve"> prescribed by the board. The format shall include information related to students, faculty, graduates, curriculum, and clinical facilities. The board shall review each program's annual report and determine whether the program continues to comply with board standards for nursing education. If the program does not comply with the board standards, the board shall make recommendations to the school to address the areas of noncompliance within a designated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20:48:07:10.01 and 20:48:07:11,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 36-9-64.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Example:</w:t>
      </w:r>
      <w:r>
        <w:rPr>
          <w:rFonts w:ascii="Times New Roman" w:hAnsi="Times New Roman"/>
          <w:sz w:val="24"/>
        </w:rPr>
        <w:t xml:space="preserve"> The number of first-time writers from the program in question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January 1, 2004-December 31, 2004: 10 first-time writers;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January 1, 2005-December 31, 2005:   8 first-time writers;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January 1, 2006-December 31, 2006:   7 first-time writers;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January 1, 2007-December 31, 2007: 12 first-time writers.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first measuring period is January 1, 2004, through December 31, 2006, since 25 first-time writers will have written the licensing examination during such period. The second measuring period is January 1, 2005, through December 31, 2007, since 27 first-time writers will have written the licensing examination during such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paragraph" w:styleId="P3">
    <w:name w:val="Body Text"/>
    <w:basedOn w:val="P0"/>
    <w:link w:val="C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character" w:styleId="C5">
    <w:name w:val="Body Text Char"/>
    <w:basedOn w:val="C0"/>
    <w:link w:val="P3"/>
    <w:semiHidden/>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